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A8BB79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bookmarkStart w:id="2" w:name="_GoBack"/>
      <w:bookmarkEnd w:id="2"/>
      <w:r w:rsidR="00116607" w:rsidRPr="00116607">
        <w:rPr>
          <w:rFonts w:cs="Arial"/>
          <w:b/>
          <w:sz w:val="24"/>
          <w:szCs w:val="24"/>
        </w:rPr>
        <w:t>2203654</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72858B3"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954A6" w:rsidRPr="00A954A6">
        <w:rPr>
          <w:rFonts w:cs="Arial"/>
          <w:sz w:val="22"/>
        </w:rPr>
        <w:t>MPR versus ACLR and SEM for 6GHz licensed band</w:t>
      </w:r>
    </w:p>
    <w:p w14:paraId="5E8A96B5" w14:textId="227DFD60"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E1F51" w:rsidRPr="001E1F51">
        <w:rPr>
          <w:rFonts w:ascii="Arial" w:hAnsi="Arial" w:cs="Arial"/>
          <w:sz w:val="22"/>
        </w:rPr>
        <w:t>9.3.3 UE RF requirements [NR_6 GHz</w:t>
      </w:r>
      <w:r w:rsidR="001E1F51">
        <w:rPr>
          <w:rFonts w:ascii="Arial" w:hAnsi="Arial" w:cs="Arial"/>
          <w:sz w:val="22"/>
        </w:rPr>
        <w:t>]</w:t>
      </w:r>
    </w:p>
    <w:p w14:paraId="2E5C6AEA" w14:textId="792D253F"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4EC68E76" w:rsidR="00842311" w:rsidRDefault="007C2743" w:rsidP="00825624">
      <w:pPr>
        <w:overflowPunct/>
        <w:autoSpaceDE/>
        <w:autoSpaceDN/>
        <w:adjustRightInd/>
        <w:spacing w:after="0"/>
        <w:jc w:val="both"/>
        <w:textAlignment w:val="auto"/>
        <w:rPr>
          <w:rFonts w:eastAsia="SimSun"/>
          <w:lang w:eastAsia="zh-CN"/>
        </w:rPr>
      </w:pPr>
      <w:r>
        <w:rPr>
          <w:rFonts w:eastAsia="SimSun"/>
          <w:lang w:eastAsia="zh-CN"/>
        </w:rPr>
        <w:t>I</w:t>
      </w:r>
      <w:r w:rsidR="004247E2">
        <w:rPr>
          <w:rFonts w:eastAsia="SimSun"/>
          <w:lang w:eastAsia="zh-CN"/>
        </w:rPr>
        <w:t xml:space="preserve">n </w:t>
      </w:r>
      <w:r w:rsidR="00530C06">
        <w:rPr>
          <w:rFonts w:eastAsia="SimSun"/>
          <w:lang w:eastAsia="zh-CN"/>
        </w:rPr>
        <w:t>R</w:t>
      </w:r>
      <w:r w:rsidR="00292F35">
        <w:rPr>
          <w:rFonts w:eastAsia="SimSun"/>
          <w:lang w:eastAsia="zh-CN"/>
        </w:rPr>
        <w:t>4#101b-e</w:t>
      </w:r>
      <w:r w:rsidR="00530C06">
        <w:rPr>
          <w:rFonts w:eastAsia="SimSun"/>
          <w:lang w:eastAsia="zh-CN"/>
        </w:rPr>
        <w:t xml:space="preserve">, </w:t>
      </w:r>
      <w:r w:rsidR="00292F35">
        <w:rPr>
          <w:rFonts w:eastAsia="SimSun"/>
          <w:lang w:eastAsia="zh-CN"/>
        </w:rPr>
        <w:t>UE requirements for 6GHz licensed band based on RCC input in [1] was discussed</w:t>
      </w:r>
      <w:r w:rsidR="00292F35">
        <w:rPr>
          <w:lang w:val="en-GB" w:eastAsia="zh-CN"/>
        </w:rPr>
        <w:t xml:space="preserve"> and some aspects were agreed in [2]. Notably, PC3 and PC2 1T</w:t>
      </w:r>
      <w:r w:rsidR="008C2697">
        <w:rPr>
          <w:lang w:val="en-GB" w:eastAsia="zh-CN"/>
        </w:rPr>
        <w:t>x are agreed, but there are open</w:t>
      </w:r>
      <w:r w:rsidR="00292F35">
        <w:rPr>
          <w:lang w:val="en-GB" w:eastAsia="zh-CN"/>
        </w:rPr>
        <w:t xml:space="preserve"> question</w:t>
      </w:r>
      <w:r w:rsidR="008C2697">
        <w:rPr>
          <w:lang w:val="en-GB" w:eastAsia="zh-CN"/>
        </w:rPr>
        <w:t>s</w:t>
      </w:r>
      <w:r w:rsidR="00292F35">
        <w:rPr>
          <w:lang w:val="en-GB" w:eastAsia="zh-CN"/>
        </w:rPr>
        <w:t xml:space="preserve"> as to MPR and applicable ACLR and SEM requirements. In this contribution, we discuss the links between MPR and SEM and ACLR, and the difference if those from FR1 NR general requirement of TS 31.101-1 or the relaxed ones from</w:t>
      </w:r>
      <w:r w:rsidR="00292F35" w:rsidRPr="00292F35">
        <w:rPr>
          <w:lang w:val="en-GB" w:eastAsia="zh-CN"/>
        </w:rPr>
        <w:t xml:space="preserve"> </w:t>
      </w:r>
      <w:r w:rsidR="00292F35">
        <w:rPr>
          <w:lang w:val="en-GB" w:eastAsia="zh-CN"/>
        </w:rPr>
        <w:t>the study [3] are used.</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5FB2BED3" w14:textId="4AF73381" w:rsidR="005F2D4C" w:rsidRPr="005F2D4C" w:rsidRDefault="005F2D4C" w:rsidP="005F2D4C">
      <w:pPr>
        <w:pStyle w:val="Heading2"/>
        <w:spacing w:after="240"/>
        <w:rPr>
          <w:lang w:eastAsia="zh-CN"/>
        </w:rPr>
      </w:pPr>
      <w:r>
        <w:rPr>
          <w:lang w:eastAsia="zh-CN"/>
        </w:rPr>
        <w:t>ACLR and SEM comparison</w:t>
      </w:r>
    </w:p>
    <w:p w14:paraId="6856CEB3" w14:textId="087FB34F" w:rsidR="00873A54" w:rsidRDefault="00292F35" w:rsidP="00530C06">
      <w:pPr>
        <w:rPr>
          <w:rFonts w:eastAsia="Yu Mincho"/>
          <w:lang w:eastAsia="ja-JP"/>
        </w:rPr>
      </w:pPr>
      <w:r>
        <w:rPr>
          <w:rFonts w:eastAsia="Yu Mincho"/>
          <w:lang w:eastAsia="ja-JP"/>
        </w:rPr>
        <w:t xml:space="preserve">In the R4#101b-e meeting, it was discussed whether ACLR and SEM should reuse </w:t>
      </w:r>
      <w:r w:rsidR="00366571">
        <w:rPr>
          <w:rFonts w:eastAsia="Yu Mincho"/>
          <w:lang w:eastAsia="ja-JP"/>
        </w:rPr>
        <w:t xml:space="preserve">the values from NR in 38.101-1 </w:t>
      </w:r>
      <w:r w:rsidR="005F2D4C">
        <w:rPr>
          <w:rFonts w:eastAsia="Yu Mincho"/>
          <w:lang w:eastAsia="ja-JP"/>
        </w:rPr>
        <w:t>or from the Study TR [3].</w:t>
      </w:r>
    </w:p>
    <w:p w14:paraId="66D7BC50" w14:textId="55E3F08A" w:rsidR="005F2D4C" w:rsidRDefault="005F2D4C" w:rsidP="005F2D4C">
      <w:pPr>
        <w:spacing w:after="0"/>
        <w:rPr>
          <w:rFonts w:eastAsia="Yu Mincho"/>
          <w:lang w:eastAsia="ja-JP"/>
        </w:rPr>
      </w:pPr>
      <w:r>
        <w:rPr>
          <w:rFonts w:eastAsia="Yu Mincho"/>
          <w:lang w:eastAsia="ja-JP"/>
        </w:rPr>
        <w:t>The different ACLRs:</w:t>
      </w:r>
    </w:p>
    <w:p w14:paraId="7F2112A4" w14:textId="71469F98" w:rsidR="005F2D4C" w:rsidRDefault="005F2D4C" w:rsidP="005F2D4C">
      <w:pPr>
        <w:pStyle w:val="ListParagraph"/>
        <w:numPr>
          <w:ilvl w:val="0"/>
          <w:numId w:val="21"/>
        </w:numPr>
        <w:spacing w:after="0"/>
        <w:rPr>
          <w:rFonts w:eastAsia="Yu Mincho"/>
          <w:lang w:eastAsia="ja-JP"/>
        </w:rPr>
      </w:pPr>
      <w:r>
        <w:rPr>
          <w:rFonts w:eastAsia="Yu Mincho"/>
          <w:lang w:eastAsia="ja-JP"/>
        </w:rPr>
        <w:t>In TS 38.101-1, ACLR is 30dB for PC3 and 31dB for PC2</w:t>
      </w:r>
    </w:p>
    <w:p w14:paraId="4D912FCF" w14:textId="36925086" w:rsidR="005F2D4C" w:rsidRDefault="005F2D4C" w:rsidP="005F2D4C">
      <w:pPr>
        <w:pStyle w:val="ListParagraph"/>
        <w:numPr>
          <w:ilvl w:val="0"/>
          <w:numId w:val="21"/>
        </w:numPr>
        <w:spacing w:after="0"/>
        <w:rPr>
          <w:rFonts w:eastAsia="Yu Mincho"/>
          <w:lang w:eastAsia="ja-JP"/>
        </w:rPr>
      </w:pPr>
      <w:r>
        <w:rPr>
          <w:rFonts w:eastAsia="Yu Mincho"/>
          <w:lang w:eastAsia="ja-JP"/>
        </w:rPr>
        <w:t xml:space="preserve">In </w:t>
      </w:r>
      <w:r>
        <w:t xml:space="preserve">TR 38.921, coexistence studies concluded 26dB ACLR for PC3 but there is no result </w:t>
      </w:r>
      <w:r>
        <w:rPr>
          <w:rFonts w:eastAsia="Yu Mincho"/>
          <w:lang w:eastAsia="ja-JP"/>
        </w:rPr>
        <w:t>for PC2 (possibly 27dB based on the past experience</w:t>
      </w:r>
      <w:r w:rsidR="001E1F51">
        <w:rPr>
          <w:rFonts w:eastAsia="Yu Mincho"/>
          <w:lang w:eastAsia="ja-JP"/>
        </w:rPr>
        <w:t xml:space="preserve"> in NR</w:t>
      </w:r>
      <w:r>
        <w:rPr>
          <w:rFonts w:eastAsia="Yu Mincho"/>
          <w:lang w:eastAsia="ja-JP"/>
        </w:rPr>
        <w:t>).</w:t>
      </w:r>
    </w:p>
    <w:p w14:paraId="17BEDEB4" w14:textId="77777777" w:rsidR="005F2D4C" w:rsidRDefault="005F2D4C" w:rsidP="005F2D4C">
      <w:pPr>
        <w:spacing w:after="0"/>
        <w:rPr>
          <w:rFonts w:eastAsia="Yu Mincho"/>
          <w:lang w:eastAsia="ja-JP"/>
        </w:rPr>
      </w:pPr>
    </w:p>
    <w:p w14:paraId="73A33118" w14:textId="000E1041" w:rsidR="005F2D4C" w:rsidRDefault="005F2D4C" w:rsidP="005F2D4C">
      <w:pPr>
        <w:spacing w:after="0"/>
        <w:rPr>
          <w:rFonts w:eastAsia="Yu Mincho"/>
          <w:lang w:eastAsia="ja-JP"/>
        </w:rPr>
      </w:pPr>
      <w:r>
        <w:rPr>
          <w:rFonts w:eastAsia="Yu Mincho"/>
          <w:lang w:eastAsia="ja-JP"/>
        </w:rPr>
        <w:t xml:space="preserve">The SEM in TS 38.101-1 and </w:t>
      </w:r>
      <w:r>
        <w:t xml:space="preserve">TR 38.921 (in </w:t>
      </w:r>
      <w:r w:rsidRPr="005F2D4C">
        <w:rPr>
          <w:b/>
        </w:rPr>
        <w:t>bold</w:t>
      </w:r>
      <w:r>
        <w:t xml:space="preserve"> when different) </w:t>
      </w:r>
      <w:r>
        <w:rPr>
          <w:rFonts w:eastAsia="Yu Mincho"/>
          <w:lang w:eastAsia="ja-JP"/>
        </w:rPr>
        <w:t>is shown in Table 1. The channel</w:t>
      </w:r>
      <w:r w:rsidR="001E1F51">
        <w:rPr>
          <w:rFonts w:eastAsia="Yu Mincho"/>
          <w:lang w:eastAsia="ja-JP"/>
        </w:rPr>
        <w:t xml:space="preserve"> </w:t>
      </w:r>
      <w:r>
        <w:rPr>
          <w:rFonts w:eastAsia="Yu Mincho"/>
          <w:lang w:eastAsia="ja-JP"/>
        </w:rPr>
        <w:t>bandwidth</w:t>
      </w:r>
      <w:r w:rsidR="001E1F51">
        <w:rPr>
          <w:rFonts w:eastAsia="Yu Mincho"/>
          <w:lang w:eastAsia="ja-JP"/>
        </w:rPr>
        <w:t>s</w:t>
      </w:r>
      <w:r>
        <w:rPr>
          <w:rFonts w:eastAsia="Yu Mincho"/>
          <w:lang w:eastAsia="ja-JP"/>
        </w:rPr>
        <w:t xml:space="preserve"> in red do not apply for the 6GHz licensed band based on RCC</w:t>
      </w:r>
      <w:r w:rsidR="001E1F51">
        <w:rPr>
          <w:rFonts w:eastAsia="Yu Mincho"/>
          <w:lang w:eastAsia="ja-JP"/>
        </w:rPr>
        <w:t xml:space="preserve"> recommendation</w:t>
      </w:r>
      <w:r>
        <w:rPr>
          <w:rFonts w:eastAsia="Yu Mincho"/>
          <w:lang w:eastAsia="ja-JP"/>
        </w:rPr>
        <w:t>.</w:t>
      </w:r>
      <w:r w:rsidR="00102B03">
        <w:rPr>
          <w:rFonts w:eastAsia="Yu Mincho"/>
          <w:lang w:eastAsia="ja-JP"/>
        </w:rPr>
        <w:t xml:space="preserve"> Basically the SEM is relaxed by 3dB for the first 5MHz OOB range.</w:t>
      </w:r>
    </w:p>
    <w:p w14:paraId="19ECD9B4" w14:textId="29D25204" w:rsidR="005F2D4C" w:rsidRDefault="005F2D4C" w:rsidP="00102B03">
      <w:pPr>
        <w:pStyle w:val="Caption"/>
        <w:keepNext/>
        <w:jc w:val="center"/>
      </w:pPr>
      <w:r>
        <w:t xml:space="preserve">Table </w:t>
      </w:r>
      <w:r w:rsidR="00557199">
        <w:fldChar w:fldCharType="begin"/>
      </w:r>
      <w:r w:rsidR="00557199">
        <w:instrText xml:space="preserve"> SEQ Table \* ARABIC </w:instrText>
      </w:r>
      <w:r w:rsidR="00557199">
        <w:fldChar w:fldCharType="separate"/>
      </w:r>
      <w:r w:rsidR="009224C7">
        <w:rPr>
          <w:noProof/>
        </w:rPr>
        <w:t>1</w:t>
      </w:r>
      <w:r w:rsidR="00557199">
        <w:rPr>
          <w:noProof/>
        </w:rPr>
        <w:fldChar w:fldCharType="end"/>
      </w:r>
      <w:r>
        <w:t>: comparison of SEM from TS 38.101</w:t>
      </w:r>
      <w:r w:rsidR="00102B03">
        <w:t>-1 and TR 38.921</w:t>
      </w:r>
    </w:p>
    <w:tbl>
      <w:tblPr>
        <w:tblW w:w="9151" w:type="dxa"/>
        <w:tblInd w:w="93" w:type="dxa"/>
        <w:tblLook w:val="04A0" w:firstRow="1" w:lastRow="0" w:firstColumn="1" w:lastColumn="0" w:noHBand="0" w:noVBand="1"/>
      </w:tblPr>
      <w:tblGrid>
        <w:gridCol w:w="2324"/>
        <w:gridCol w:w="577"/>
        <w:gridCol w:w="817"/>
        <w:gridCol w:w="2018"/>
        <w:gridCol w:w="2118"/>
        <w:gridCol w:w="1297"/>
      </w:tblGrid>
      <w:tr w:rsidR="005F2D4C" w:rsidRPr="005F2D4C" w14:paraId="61BEBB63" w14:textId="77777777" w:rsidTr="00102B03">
        <w:trPr>
          <w:trHeight w:val="46"/>
        </w:trPr>
        <w:tc>
          <w:tcPr>
            <w:tcW w:w="2324" w:type="dxa"/>
            <w:tcBorders>
              <w:top w:val="single" w:sz="8" w:space="0" w:color="000000"/>
              <w:left w:val="single" w:sz="8" w:space="0" w:color="000000"/>
              <w:bottom w:val="nil"/>
              <w:right w:val="single" w:sz="8" w:space="0" w:color="000000"/>
            </w:tcBorders>
            <w:shd w:val="clear" w:color="auto" w:fill="auto"/>
            <w:vAlign w:val="center"/>
            <w:hideMark/>
          </w:tcPr>
          <w:p w14:paraId="38C3D67F" w14:textId="54B5AE24"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proofErr w:type="spellStart"/>
            <w:r w:rsidRPr="005F2D4C">
              <w:rPr>
                <w:rFonts w:ascii="Arial" w:hAnsi="Arial" w:cs="Arial"/>
                <w:b/>
                <w:bCs/>
                <w:color w:val="000000"/>
                <w:sz w:val="18"/>
                <w:szCs w:val="18"/>
              </w:rPr>
              <w:t>Δf</w:t>
            </w:r>
            <w:r w:rsidRPr="005F2D4C">
              <w:rPr>
                <w:rFonts w:ascii="Arial" w:hAnsi="Arial" w:cs="Arial"/>
                <w:b/>
                <w:bCs/>
                <w:color w:val="000000"/>
                <w:sz w:val="18"/>
                <w:szCs w:val="18"/>
                <w:vertAlign w:val="subscript"/>
              </w:rPr>
              <w:t>OOB</w:t>
            </w:r>
            <w:proofErr w:type="spellEnd"/>
          </w:p>
        </w:tc>
        <w:tc>
          <w:tcPr>
            <w:tcW w:w="5530" w:type="dxa"/>
            <w:gridSpan w:val="4"/>
            <w:tcBorders>
              <w:top w:val="single" w:sz="8" w:space="0" w:color="000000"/>
              <w:left w:val="nil"/>
              <w:bottom w:val="single" w:sz="8" w:space="0" w:color="000000"/>
              <w:right w:val="single" w:sz="8" w:space="0" w:color="000000"/>
            </w:tcBorders>
            <w:shd w:val="clear" w:color="auto" w:fill="auto"/>
            <w:vAlign w:val="center"/>
            <w:hideMark/>
          </w:tcPr>
          <w:p w14:paraId="4C088D51" w14:textId="04D0C364"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CBW</w:t>
            </w:r>
            <w:r w:rsidRPr="005F2D4C">
              <w:rPr>
                <w:rFonts w:ascii="Arial" w:hAnsi="Arial" w:cs="Arial"/>
                <w:b/>
                <w:bCs/>
                <w:color w:val="000000"/>
                <w:sz w:val="18"/>
                <w:szCs w:val="18"/>
              </w:rPr>
              <w:t xml:space="preserve"> (MHz) / </w:t>
            </w:r>
            <w:r>
              <w:rPr>
                <w:rFonts w:ascii="Arial" w:hAnsi="Arial" w:cs="Arial"/>
                <w:b/>
                <w:bCs/>
                <w:color w:val="000000"/>
                <w:sz w:val="18"/>
                <w:szCs w:val="18"/>
              </w:rPr>
              <w:t>SEM</w:t>
            </w:r>
            <w:r w:rsidRPr="005F2D4C">
              <w:rPr>
                <w:rFonts w:ascii="Arial" w:hAnsi="Arial" w:cs="Arial"/>
                <w:b/>
                <w:bCs/>
                <w:color w:val="000000"/>
                <w:sz w:val="18"/>
                <w:szCs w:val="18"/>
              </w:rPr>
              <w:t xml:space="preserve"> limit (</w:t>
            </w:r>
            <w:proofErr w:type="spellStart"/>
            <w:r w:rsidRPr="005F2D4C">
              <w:rPr>
                <w:rFonts w:ascii="Arial" w:hAnsi="Arial" w:cs="Arial"/>
                <w:b/>
                <w:bCs/>
                <w:color w:val="000000"/>
                <w:sz w:val="18"/>
                <w:szCs w:val="18"/>
              </w:rPr>
              <w:t>dBm</w:t>
            </w:r>
            <w:proofErr w:type="spellEnd"/>
            <w:r w:rsidRPr="005F2D4C">
              <w:rPr>
                <w:rFonts w:ascii="Arial" w:hAnsi="Arial" w:cs="Arial"/>
                <w:b/>
                <w:bCs/>
                <w:color w:val="000000"/>
                <w:sz w:val="18"/>
                <w:szCs w:val="18"/>
              </w:rPr>
              <w:t>)</w:t>
            </w:r>
          </w:p>
        </w:tc>
        <w:tc>
          <w:tcPr>
            <w:tcW w:w="1297" w:type="dxa"/>
            <w:tcBorders>
              <w:top w:val="single" w:sz="8" w:space="0" w:color="000000"/>
              <w:left w:val="nil"/>
              <w:bottom w:val="nil"/>
              <w:right w:val="single" w:sz="8" w:space="0" w:color="000000"/>
            </w:tcBorders>
            <w:shd w:val="clear" w:color="auto" w:fill="auto"/>
            <w:vAlign w:val="center"/>
            <w:hideMark/>
          </w:tcPr>
          <w:p w14:paraId="7F224BB1" w14:textId="04C40CBE"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MBW</w:t>
            </w:r>
          </w:p>
        </w:tc>
      </w:tr>
      <w:tr w:rsidR="005F2D4C" w:rsidRPr="005F2D4C" w14:paraId="1F06AE1C"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6D27A8FE" w14:textId="77777777"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r w:rsidRPr="005F2D4C">
              <w:rPr>
                <w:rFonts w:ascii="Arial" w:hAnsi="Arial" w:cs="Arial"/>
                <w:b/>
                <w:bCs/>
                <w:color w:val="000000"/>
                <w:sz w:val="18"/>
                <w:szCs w:val="18"/>
              </w:rPr>
              <w:t>(MHz)</w:t>
            </w:r>
          </w:p>
        </w:tc>
        <w:tc>
          <w:tcPr>
            <w:tcW w:w="577" w:type="dxa"/>
            <w:tcBorders>
              <w:top w:val="nil"/>
              <w:left w:val="nil"/>
              <w:bottom w:val="single" w:sz="8" w:space="0" w:color="000000"/>
              <w:right w:val="single" w:sz="8" w:space="0" w:color="000000"/>
            </w:tcBorders>
            <w:shd w:val="clear" w:color="auto" w:fill="auto"/>
            <w:vAlign w:val="center"/>
            <w:hideMark/>
          </w:tcPr>
          <w:p w14:paraId="258B04EC" w14:textId="77777777" w:rsidR="005F2D4C" w:rsidRPr="005F2D4C" w:rsidRDefault="005F2D4C" w:rsidP="00102B03">
            <w:pPr>
              <w:overflowPunct/>
              <w:autoSpaceDE/>
              <w:autoSpaceDN/>
              <w:adjustRightInd/>
              <w:spacing w:after="0"/>
              <w:jc w:val="center"/>
              <w:textAlignment w:val="auto"/>
              <w:rPr>
                <w:rFonts w:ascii="Arial" w:hAnsi="Arial" w:cs="Arial"/>
                <w:b/>
                <w:bCs/>
                <w:color w:val="FF0000"/>
                <w:sz w:val="18"/>
                <w:szCs w:val="18"/>
              </w:rPr>
            </w:pPr>
            <w:r w:rsidRPr="005F2D4C">
              <w:rPr>
                <w:rFonts w:ascii="Arial" w:hAnsi="Arial" w:cs="Arial"/>
                <w:b/>
                <w:bCs/>
                <w:color w:val="FF0000"/>
                <w:sz w:val="18"/>
                <w:szCs w:val="18"/>
              </w:rPr>
              <w:t>5</w:t>
            </w:r>
          </w:p>
        </w:tc>
        <w:tc>
          <w:tcPr>
            <w:tcW w:w="817" w:type="dxa"/>
            <w:tcBorders>
              <w:top w:val="nil"/>
              <w:left w:val="nil"/>
              <w:bottom w:val="single" w:sz="8" w:space="0" w:color="000000"/>
              <w:right w:val="single" w:sz="8" w:space="0" w:color="000000"/>
            </w:tcBorders>
            <w:shd w:val="clear" w:color="auto" w:fill="auto"/>
            <w:vAlign w:val="center"/>
            <w:hideMark/>
          </w:tcPr>
          <w:p w14:paraId="614893E5" w14:textId="77777777" w:rsidR="005F2D4C" w:rsidRPr="005F2D4C" w:rsidRDefault="005F2D4C" w:rsidP="00102B03">
            <w:pPr>
              <w:overflowPunct/>
              <w:autoSpaceDE/>
              <w:autoSpaceDN/>
              <w:adjustRightInd/>
              <w:spacing w:after="0"/>
              <w:jc w:val="center"/>
              <w:textAlignment w:val="auto"/>
              <w:rPr>
                <w:rFonts w:ascii="Arial" w:hAnsi="Arial" w:cs="Arial"/>
                <w:b/>
                <w:bCs/>
                <w:color w:val="FF0000"/>
                <w:sz w:val="18"/>
                <w:szCs w:val="18"/>
              </w:rPr>
            </w:pPr>
            <w:r w:rsidRPr="005F2D4C">
              <w:rPr>
                <w:rFonts w:ascii="Arial" w:hAnsi="Arial" w:cs="Arial"/>
                <w:b/>
                <w:bCs/>
                <w:color w:val="FF0000"/>
                <w:sz w:val="18"/>
                <w:szCs w:val="18"/>
              </w:rPr>
              <w:t>10, 15</w:t>
            </w:r>
          </w:p>
        </w:tc>
        <w:tc>
          <w:tcPr>
            <w:tcW w:w="2018" w:type="dxa"/>
            <w:tcBorders>
              <w:top w:val="nil"/>
              <w:left w:val="nil"/>
              <w:bottom w:val="single" w:sz="8" w:space="0" w:color="000000"/>
              <w:right w:val="single" w:sz="8" w:space="0" w:color="000000"/>
            </w:tcBorders>
            <w:shd w:val="clear" w:color="auto" w:fill="auto"/>
            <w:vAlign w:val="center"/>
            <w:hideMark/>
          </w:tcPr>
          <w:p w14:paraId="385EA0F1" w14:textId="77777777"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r w:rsidRPr="005F2D4C">
              <w:rPr>
                <w:rFonts w:ascii="Arial" w:hAnsi="Arial" w:cs="Arial"/>
                <w:b/>
                <w:bCs/>
                <w:color w:val="000000"/>
                <w:sz w:val="18"/>
                <w:szCs w:val="18"/>
              </w:rPr>
              <w:t xml:space="preserve">20, 25, 30, </w:t>
            </w:r>
            <w:r w:rsidRPr="005F2D4C">
              <w:rPr>
                <w:rFonts w:ascii="Arial" w:hAnsi="Arial" w:cs="Arial"/>
                <w:b/>
                <w:bCs/>
                <w:color w:val="FF0000"/>
                <w:sz w:val="18"/>
                <w:szCs w:val="18"/>
              </w:rPr>
              <w:t>35,</w:t>
            </w:r>
            <w:r w:rsidRPr="005F2D4C">
              <w:rPr>
                <w:rFonts w:ascii="Arial" w:hAnsi="Arial" w:cs="Arial"/>
                <w:b/>
                <w:bCs/>
                <w:color w:val="000000"/>
                <w:sz w:val="18"/>
                <w:szCs w:val="18"/>
              </w:rPr>
              <w:t xml:space="preserve"> 40, </w:t>
            </w:r>
            <w:r w:rsidRPr="005F2D4C">
              <w:rPr>
                <w:rFonts w:ascii="Arial" w:hAnsi="Arial" w:cs="Arial"/>
                <w:b/>
                <w:bCs/>
                <w:color w:val="FF0000"/>
                <w:sz w:val="18"/>
                <w:szCs w:val="18"/>
              </w:rPr>
              <w:t>45</w:t>
            </w:r>
          </w:p>
        </w:tc>
        <w:tc>
          <w:tcPr>
            <w:tcW w:w="2118" w:type="dxa"/>
            <w:tcBorders>
              <w:top w:val="nil"/>
              <w:left w:val="nil"/>
              <w:bottom w:val="single" w:sz="8" w:space="0" w:color="000000"/>
              <w:right w:val="single" w:sz="8" w:space="0" w:color="000000"/>
            </w:tcBorders>
            <w:shd w:val="clear" w:color="auto" w:fill="auto"/>
            <w:vAlign w:val="center"/>
            <w:hideMark/>
          </w:tcPr>
          <w:p w14:paraId="215114D8" w14:textId="77777777"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r w:rsidRPr="005F2D4C">
              <w:rPr>
                <w:rFonts w:ascii="Arial" w:hAnsi="Arial" w:cs="Arial"/>
                <w:b/>
                <w:bCs/>
                <w:color w:val="000000"/>
                <w:sz w:val="18"/>
                <w:szCs w:val="18"/>
              </w:rPr>
              <w:t>50, 60, 70, 80, 90, 100</w:t>
            </w:r>
          </w:p>
        </w:tc>
        <w:tc>
          <w:tcPr>
            <w:tcW w:w="1297" w:type="dxa"/>
            <w:tcBorders>
              <w:top w:val="nil"/>
              <w:left w:val="nil"/>
              <w:bottom w:val="single" w:sz="8" w:space="0" w:color="000000"/>
              <w:right w:val="single" w:sz="8" w:space="0" w:color="000000"/>
            </w:tcBorders>
            <w:shd w:val="clear" w:color="auto" w:fill="auto"/>
            <w:vAlign w:val="center"/>
            <w:hideMark/>
          </w:tcPr>
          <w:p w14:paraId="3E996D66" w14:textId="58E67631" w:rsidR="005F2D4C" w:rsidRPr="005F2D4C" w:rsidRDefault="005F2D4C" w:rsidP="00102B03">
            <w:pPr>
              <w:overflowPunct/>
              <w:autoSpaceDE/>
              <w:autoSpaceDN/>
              <w:adjustRightInd/>
              <w:spacing w:after="0"/>
              <w:jc w:val="center"/>
              <w:textAlignment w:val="auto"/>
              <w:rPr>
                <w:rFonts w:ascii="Arial" w:hAnsi="Arial" w:cs="Arial"/>
                <w:b/>
                <w:bCs/>
                <w:color w:val="000000"/>
                <w:sz w:val="18"/>
                <w:szCs w:val="18"/>
              </w:rPr>
            </w:pPr>
          </w:p>
        </w:tc>
      </w:tr>
      <w:tr w:rsidR="005F2D4C" w:rsidRPr="005F2D4C" w14:paraId="13FB623C"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5E5229A8"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0-1</w:t>
            </w:r>
          </w:p>
        </w:tc>
        <w:tc>
          <w:tcPr>
            <w:tcW w:w="577" w:type="dxa"/>
            <w:tcBorders>
              <w:top w:val="nil"/>
              <w:left w:val="nil"/>
              <w:bottom w:val="single" w:sz="8" w:space="0" w:color="000000"/>
              <w:right w:val="single" w:sz="8" w:space="0" w:color="000000"/>
            </w:tcBorders>
            <w:shd w:val="clear" w:color="auto" w:fill="auto"/>
            <w:vAlign w:val="center"/>
            <w:hideMark/>
          </w:tcPr>
          <w:p w14:paraId="111508CC"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-13</w:t>
            </w:r>
          </w:p>
        </w:tc>
        <w:tc>
          <w:tcPr>
            <w:tcW w:w="817" w:type="dxa"/>
            <w:tcBorders>
              <w:top w:val="nil"/>
              <w:left w:val="nil"/>
              <w:bottom w:val="single" w:sz="8" w:space="0" w:color="000000"/>
              <w:right w:val="single" w:sz="8" w:space="0" w:color="000000"/>
            </w:tcBorders>
            <w:shd w:val="clear" w:color="auto" w:fill="auto"/>
            <w:vAlign w:val="center"/>
            <w:hideMark/>
          </w:tcPr>
          <w:p w14:paraId="6EFF29C3"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-13</w:t>
            </w:r>
          </w:p>
        </w:tc>
        <w:tc>
          <w:tcPr>
            <w:tcW w:w="2018" w:type="dxa"/>
            <w:tcBorders>
              <w:top w:val="nil"/>
              <w:left w:val="nil"/>
              <w:bottom w:val="single" w:sz="8" w:space="0" w:color="000000"/>
              <w:right w:val="single" w:sz="8" w:space="0" w:color="000000"/>
            </w:tcBorders>
            <w:shd w:val="clear" w:color="auto" w:fill="auto"/>
            <w:vAlign w:val="center"/>
            <w:hideMark/>
          </w:tcPr>
          <w:p w14:paraId="4DF20BC2"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-13 /</w:t>
            </w:r>
            <w:r w:rsidRPr="005F2D4C">
              <w:rPr>
                <w:rFonts w:ascii="Arial" w:hAnsi="Arial" w:cs="Arial"/>
                <w:b/>
                <w:bCs/>
                <w:color w:val="000000"/>
                <w:sz w:val="18"/>
                <w:szCs w:val="18"/>
              </w:rPr>
              <w:t xml:space="preserve"> -10</w:t>
            </w:r>
          </w:p>
        </w:tc>
        <w:tc>
          <w:tcPr>
            <w:tcW w:w="2118" w:type="dxa"/>
            <w:tcBorders>
              <w:top w:val="nil"/>
              <w:left w:val="nil"/>
              <w:bottom w:val="single" w:sz="8" w:space="0" w:color="000000"/>
              <w:right w:val="single" w:sz="8" w:space="0" w:color="000000"/>
            </w:tcBorders>
            <w:shd w:val="clear" w:color="auto" w:fill="auto"/>
            <w:vAlign w:val="center"/>
            <w:hideMark/>
          </w:tcPr>
          <w:p w14:paraId="59B9FD4C" w14:textId="1C510AD9" w:rsidR="005F2D4C" w:rsidRPr="005F2D4C" w:rsidRDefault="005F2D4C" w:rsidP="00102B03">
            <w:pPr>
              <w:overflowPunct/>
              <w:autoSpaceDE/>
              <w:autoSpaceDN/>
              <w:adjustRightInd/>
              <w:spacing w:after="0"/>
              <w:jc w:val="center"/>
              <w:textAlignment w:val="auto"/>
              <w:rPr>
                <w:color w:val="000000"/>
              </w:rPr>
            </w:pPr>
          </w:p>
        </w:tc>
        <w:tc>
          <w:tcPr>
            <w:tcW w:w="1297" w:type="dxa"/>
            <w:tcBorders>
              <w:top w:val="nil"/>
              <w:left w:val="nil"/>
              <w:bottom w:val="single" w:sz="8" w:space="0" w:color="000000"/>
              <w:right w:val="single" w:sz="8" w:space="0" w:color="000000"/>
            </w:tcBorders>
            <w:shd w:val="clear" w:color="auto" w:fill="auto"/>
            <w:vAlign w:val="center"/>
            <w:hideMark/>
          </w:tcPr>
          <w:p w14:paraId="4F37350F" w14:textId="7012FA1D"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xml:space="preserve">1 % of </w:t>
            </w:r>
            <w:r>
              <w:rPr>
                <w:rFonts w:ascii="Arial" w:hAnsi="Arial" w:cs="Arial"/>
                <w:color w:val="000000"/>
                <w:sz w:val="18"/>
                <w:szCs w:val="18"/>
              </w:rPr>
              <w:t>C</w:t>
            </w:r>
            <w:r w:rsidRPr="005F2D4C">
              <w:rPr>
                <w:rFonts w:ascii="Arial" w:hAnsi="Arial" w:cs="Arial"/>
                <w:color w:val="000000"/>
                <w:sz w:val="18"/>
                <w:szCs w:val="18"/>
              </w:rPr>
              <w:t>BW</w:t>
            </w:r>
          </w:p>
        </w:tc>
      </w:tr>
      <w:tr w:rsidR="005F2D4C" w:rsidRPr="005F2D4C" w14:paraId="21E90554"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2DF44CD9"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0-1</w:t>
            </w:r>
          </w:p>
        </w:tc>
        <w:tc>
          <w:tcPr>
            <w:tcW w:w="577" w:type="dxa"/>
            <w:tcBorders>
              <w:top w:val="nil"/>
              <w:left w:val="nil"/>
              <w:bottom w:val="single" w:sz="8" w:space="0" w:color="000000"/>
              <w:right w:val="single" w:sz="8" w:space="0" w:color="000000"/>
            </w:tcBorders>
            <w:shd w:val="clear" w:color="auto" w:fill="auto"/>
            <w:vAlign w:val="center"/>
            <w:hideMark/>
          </w:tcPr>
          <w:p w14:paraId="1034EB64" w14:textId="6C19E086" w:rsidR="005F2D4C" w:rsidRPr="005F2D4C" w:rsidRDefault="005F2D4C" w:rsidP="00102B03">
            <w:pPr>
              <w:overflowPunct/>
              <w:autoSpaceDE/>
              <w:autoSpaceDN/>
              <w:adjustRightInd/>
              <w:spacing w:after="0"/>
              <w:jc w:val="center"/>
              <w:textAlignment w:val="auto"/>
              <w:rPr>
                <w:color w:val="000000"/>
              </w:rPr>
            </w:pPr>
          </w:p>
        </w:tc>
        <w:tc>
          <w:tcPr>
            <w:tcW w:w="817" w:type="dxa"/>
            <w:tcBorders>
              <w:top w:val="nil"/>
              <w:left w:val="nil"/>
              <w:bottom w:val="single" w:sz="8" w:space="0" w:color="000000"/>
              <w:right w:val="single" w:sz="8" w:space="0" w:color="000000"/>
            </w:tcBorders>
            <w:shd w:val="clear" w:color="auto" w:fill="auto"/>
            <w:vAlign w:val="center"/>
            <w:hideMark/>
          </w:tcPr>
          <w:p w14:paraId="5937048A" w14:textId="37C76FA3" w:rsidR="005F2D4C" w:rsidRPr="005F2D4C" w:rsidRDefault="005F2D4C" w:rsidP="00102B03">
            <w:pPr>
              <w:overflowPunct/>
              <w:autoSpaceDE/>
              <w:autoSpaceDN/>
              <w:adjustRightInd/>
              <w:spacing w:after="0"/>
              <w:jc w:val="center"/>
              <w:textAlignment w:val="auto"/>
              <w:rPr>
                <w:color w:val="000000"/>
              </w:rPr>
            </w:pPr>
          </w:p>
        </w:tc>
        <w:tc>
          <w:tcPr>
            <w:tcW w:w="2018" w:type="dxa"/>
            <w:tcBorders>
              <w:top w:val="nil"/>
              <w:left w:val="nil"/>
              <w:bottom w:val="single" w:sz="8" w:space="0" w:color="000000"/>
              <w:right w:val="single" w:sz="8" w:space="0" w:color="000000"/>
            </w:tcBorders>
            <w:shd w:val="clear" w:color="auto" w:fill="auto"/>
            <w:vAlign w:val="center"/>
            <w:hideMark/>
          </w:tcPr>
          <w:p w14:paraId="2EB5F83A" w14:textId="79129CE6" w:rsidR="005F2D4C" w:rsidRPr="005F2D4C" w:rsidRDefault="005F2D4C" w:rsidP="00102B03">
            <w:pPr>
              <w:overflowPunct/>
              <w:autoSpaceDE/>
              <w:autoSpaceDN/>
              <w:adjustRightInd/>
              <w:spacing w:after="0"/>
              <w:jc w:val="center"/>
              <w:textAlignment w:val="auto"/>
              <w:rPr>
                <w:color w:val="000000"/>
              </w:rPr>
            </w:pPr>
          </w:p>
        </w:tc>
        <w:tc>
          <w:tcPr>
            <w:tcW w:w="2118" w:type="dxa"/>
            <w:tcBorders>
              <w:top w:val="nil"/>
              <w:left w:val="nil"/>
              <w:bottom w:val="single" w:sz="8" w:space="0" w:color="000000"/>
              <w:right w:val="single" w:sz="8" w:space="0" w:color="000000"/>
            </w:tcBorders>
            <w:shd w:val="clear" w:color="auto" w:fill="auto"/>
            <w:vAlign w:val="center"/>
            <w:hideMark/>
          </w:tcPr>
          <w:p w14:paraId="16009799"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xml:space="preserve">-24 / </w:t>
            </w:r>
            <w:r w:rsidRPr="005F2D4C">
              <w:rPr>
                <w:rFonts w:ascii="Arial" w:hAnsi="Arial" w:cs="Arial"/>
                <w:b/>
                <w:bCs/>
                <w:color w:val="000000"/>
                <w:sz w:val="18"/>
                <w:szCs w:val="18"/>
              </w:rPr>
              <w:t>-21</w:t>
            </w:r>
          </w:p>
        </w:tc>
        <w:tc>
          <w:tcPr>
            <w:tcW w:w="1297" w:type="dxa"/>
            <w:tcBorders>
              <w:top w:val="nil"/>
              <w:left w:val="nil"/>
              <w:bottom w:val="single" w:sz="8" w:space="0" w:color="000000"/>
              <w:right w:val="single" w:sz="8" w:space="0" w:color="000000"/>
            </w:tcBorders>
            <w:shd w:val="clear" w:color="auto" w:fill="auto"/>
            <w:vAlign w:val="center"/>
            <w:hideMark/>
          </w:tcPr>
          <w:p w14:paraId="2FC489D9"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30 kHz</w:t>
            </w:r>
          </w:p>
        </w:tc>
      </w:tr>
      <w:tr w:rsidR="005F2D4C" w:rsidRPr="005F2D4C" w14:paraId="36459CA9"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037E238A"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1-5</w:t>
            </w:r>
          </w:p>
        </w:tc>
        <w:tc>
          <w:tcPr>
            <w:tcW w:w="577" w:type="dxa"/>
            <w:tcBorders>
              <w:top w:val="nil"/>
              <w:left w:val="nil"/>
              <w:bottom w:val="single" w:sz="8" w:space="0" w:color="000000"/>
              <w:right w:val="single" w:sz="8" w:space="0" w:color="000000"/>
            </w:tcBorders>
            <w:shd w:val="clear" w:color="auto" w:fill="auto"/>
            <w:vAlign w:val="center"/>
            <w:hideMark/>
          </w:tcPr>
          <w:p w14:paraId="19260534"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-10</w:t>
            </w:r>
          </w:p>
        </w:tc>
        <w:tc>
          <w:tcPr>
            <w:tcW w:w="817" w:type="dxa"/>
            <w:tcBorders>
              <w:top w:val="nil"/>
              <w:left w:val="nil"/>
              <w:bottom w:val="single" w:sz="8" w:space="0" w:color="000000"/>
              <w:right w:val="nil"/>
            </w:tcBorders>
            <w:shd w:val="clear" w:color="auto" w:fill="auto"/>
            <w:vAlign w:val="center"/>
            <w:hideMark/>
          </w:tcPr>
          <w:p w14:paraId="62A26BD6"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-10</w:t>
            </w:r>
          </w:p>
        </w:tc>
        <w:tc>
          <w:tcPr>
            <w:tcW w:w="2018" w:type="dxa"/>
            <w:tcBorders>
              <w:top w:val="nil"/>
              <w:left w:val="single" w:sz="8" w:space="0" w:color="000000"/>
              <w:bottom w:val="single" w:sz="8" w:space="0" w:color="000000"/>
              <w:right w:val="nil"/>
            </w:tcBorders>
            <w:shd w:val="clear" w:color="auto" w:fill="auto"/>
            <w:vAlign w:val="center"/>
            <w:hideMark/>
          </w:tcPr>
          <w:p w14:paraId="0C0FE9AE"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-10 /</w:t>
            </w:r>
            <w:r w:rsidRPr="005F2D4C">
              <w:rPr>
                <w:rFonts w:ascii="Arial" w:hAnsi="Arial" w:cs="Arial"/>
                <w:b/>
                <w:bCs/>
                <w:color w:val="000000"/>
                <w:sz w:val="18"/>
                <w:szCs w:val="18"/>
              </w:rPr>
              <w:t xml:space="preserve"> -7</w:t>
            </w:r>
          </w:p>
        </w:tc>
        <w:tc>
          <w:tcPr>
            <w:tcW w:w="2118" w:type="dxa"/>
            <w:tcBorders>
              <w:top w:val="nil"/>
              <w:left w:val="nil"/>
              <w:bottom w:val="single" w:sz="8" w:space="0" w:color="000000"/>
              <w:right w:val="single" w:sz="8" w:space="0" w:color="000000"/>
            </w:tcBorders>
            <w:shd w:val="clear" w:color="auto" w:fill="auto"/>
            <w:vAlign w:val="center"/>
            <w:hideMark/>
          </w:tcPr>
          <w:p w14:paraId="59847221" w14:textId="5A1A17D8"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p>
        </w:tc>
        <w:tc>
          <w:tcPr>
            <w:tcW w:w="1297" w:type="dxa"/>
            <w:tcBorders>
              <w:top w:val="nil"/>
              <w:left w:val="nil"/>
              <w:bottom w:val="nil"/>
              <w:right w:val="single" w:sz="8" w:space="0" w:color="000000"/>
            </w:tcBorders>
            <w:shd w:val="clear" w:color="auto" w:fill="auto"/>
            <w:vAlign w:val="center"/>
            <w:hideMark/>
          </w:tcPr>
          <w:p w14:paraId="491B457D" w14:textId="36118FB6"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p>
        </w:tc>
      </w:tr>
      <w:tr w:rsidR="005F2D4C" w:rsidRPr="005F2D4C" w14:paraId="4E4C6A3B"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2797C77A"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5-6</w:t>
            </w:r>
          </w:p>
        </w:tc>
        <w:tc>
          <w:tcPr>
            <w:tcW w:w="577" w:type="dxa"/>
            <w:tcBorders>
              <w:top w:val="nil"/>
              <w:left w:val="nil"/>
              <w:bottom w:val="single" w:sz="8" w:space="0" w:color="000000"/>
              <w:right w:val="single" w:sz="8" w:space="0" w:color="000000"/>
            </w:tcBorders>
            <w:shd w:val="clear" w:color="auto" w:fill="auto"/>
            <w:vAlign w:val="center"/>
            <w:hideMark/>
          </w:tcPr>
          <w:p w14:paraId="04CC631F"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-13</w:t>
            </w:r>
          </w:p>
        </w:tc>
        <w:tc>
          <w:tcPr>
            <w:tcW w:w="4953" w:type="dxa"/>
            <w:gridSpan w:val="3"/>
            <w:tcBorders>
              <w:top w:val="single" w:sz="8" w:space="0" w:color="000000"/>
              <w:left w:val="nil"/>
              <w:bottom w:val="single" w:sz="8" w:space="0" w:color="000000"/>
              <w:right w:val="single" w:sz="8" w:space="0" w:color="000000"/>
            </w:tcBorders>
            <w:shd w:val="clear" w:color="auto" w:fill="auto"/>
            <w:vAlign w:val="center"/>
            <w:hideMark/>
          </w:tcPr>
          <w:p w14:paraId="300360E6" w14:textId="5AC31594" w:rsidR="005F2D4C" w:rsidRPr="005F2D4C" w:rsidRDefault="005F2D4C" w:rsidP="00102B03">
            <w:pPr>
              <w:overflowPunct/>
              <w:autoSpaceDE/>
              <w:autoSpaceDN/>
              <w:adjustRightInd/>
              <w:spacing w:after="0"/>
              <w:jc w:val="center"/>
              <w:textAlignment w:val="auto"/>
              <w:rPr>
                <w:color w:val="000000"/>
              </w:rPr>
            </w:pPr>
          </w:p>
        </w:tc>
        <w:tc>
          <w:tcPr>
            <w:tcW w:w="1297" w:type="dxa"/>
            <w:tcBorders>
              <w:top w:val="nil"/>
              <w:left w:val="nil"/>
              <w:bottom w:val="nil"/>
              <w:right w:val="single" w:sz="8" w:space="0" w:color="000000"/>
            </w:tcBorders>
            <w:shd w:val="clear" w:color="auto" w:fill="auto"/>
            <w:vAlign w:val="center"/>
            <w:hideMark/>
          </w:tcPr>
          <w:p w14:paraId="0CA919B8"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 MHz</w:t>
            </w:r>
          </w:p>
        </w:tc>
      </w:tr>
      <w:tr w:rsidR="005F2D4C" w:rsidRPr="005F2D4C" w14:paraId="1856BA4E"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649430B9"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6-10</w:t>
            </w:r>
          </w:p>
        </w:tc>
        <w:tc>
          <w:tcPr>
            <w:tcW w:w="577" w:type="dxa"/>
            <w:tcBorders>
              <w:top w:val="nil"/>
              <w:left w:val="nil"/>
              <w:bottom w:val="single" w:sz="8" w:space="0" w:color="000000"/>
              <w:right w:val="single" w:sz="8" w:space="0" w:color="000000"/>
            </w:tcBorders>
            <w:shd w:val="clear" w:color="auto" w:fill="auto"/>
            <w:vAlign w:val="center"/>
            <w:hideMark/>
          </w:tcPr>
          <w:p w14:paraId="241E1A80"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-25</w:t>
            </w:r>
          </w:p>
        </w:tc>
        <w:tc>
          <w:tcPr>
            <w:tcW w:w="4953" w:type="dxa"/>
            <w:gridSpan w:val="3"/>
            <w:tcBorders>
              <w:top w:val="single" w:sz="8" w:space="0" w:color="000000"/>
              <w:left w:val="nil"/>
              <w:bottom w:val="single" w:sz="8" w:space="0" w:color="000000"/>
              <w:right w:val="single" w:sz="8" w:space="0" w:color="000000"/>
            </w:tcBorders>
            <w:shd w:val="clear" w:color="auto" w:fill="auto"/>
            <w:vAlign w:val="center"/>
            <w:hideMark/>
          </w:tcPr>
          <w:p w14:paraId="31EB6C8E" w14:textId="091FAE27" w:rsidR="005F2D4C" w:rsidRPr="005F2D4C" w:rsidRDefault="005F2D4C" w:rsidP="00102B03">
            <w:pPr>
              <w:overflowPunct/>
              <w:autoSpaceDE/>
              <w:autoSpaceDN/>
              <w:adjustRightInd/>
              <w:spacing w:after="0"/>
              <w:jc w:val="center"/>
              <w:textAlignment w:val="auto"/>
              <w:rPr>
                <w:color w:val="000000"/>
              </w:rPr>
            </w:pPr>
          </w:p>
        </w:tc>
        <w:tc>
          <w:tcPr>
            <w:tcW w:w="1297" w:type="dxa"/>
            <w:tcBorders>
              <w:top w:val="nil"/>
              <w:left w:val="nil"/>
              <w:bottom w:val="nil"/>
              <w:right w:val="single" w:sz="8" w:space="0" w:color="000000"/>
            </w:tcBorders>
            <w:shd w:val="clear" w:color="auto" w:fill="auto"/>
            <w:vAlign w:val="center"/>
            <w:hideMark/>
          </w:tcPr>
          <w:p w14:paraId="2FB04513" w14:textId="1F68CA6A" w:rsidR="005F2D4C" w:rsidRPr="005F2D4C" w:rsidRDefault="005F2D4C" w:rsidP="00102B03">
            <w:pPr>
              <w:overflowPunct/>
              <w:autoSpaceDE/>
              <w:autoSpaceDN/>
              <w:adjustRightInd/>
              <w:spacing w:after="0"/>
              <w:jc w:val="center"/>
              <w:textAlignment w:val="auto"/>
              <w:rPr>
                <w:rFonts w:ascii="Calibri" w:hAnsi="Calibri"/>
                <w:color w:val="000000"/>
                <w:sz w:val="22"/>
                <w:szCs w:val="22"/>
              </w:rPr>
            </w:pPr>
          </w:p>
        </w:tc>
      </w:tr>
      <w:tr w:rsidR="005F2D4C" w:rsidRPr="005F2D4C" w14:paraId="4443856F"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5235F1FD"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5-BW</w:t>
            </w:r>
            <w:r w:rsidRPr="005F2D4C">
              <w:rPr>
                <w:rFonts w:ascii="Arial" w:hAnsi="Arial" w:cs="Arial"/>
                <w:color w:val="000000"/>
                <w:sz w:val="18"/>
                <w:szCs w:val="18"/>
                <w:vertAlign w:val="subscript"/>
              </w:rPr>
              <w:t>Channel</w:t>
            </w:r>
          </w:p>
        </w:tc>
        <w:tc>
          <w:tcPr>
            <w:tcW w:w="577" w:type="dxa"/>
            <w:tcBorders>
              <w:top w:val="nil"/>
              <w:left w:val="nil"/>
              <w:bottom w:val="single" w:sz="8" w:space="0" w:color="000000"/>
              <w:right w:val="single" w:sz="8" w:space="0" w:color="000000"/>
            </w:tcBorders>
            <w:shd w:val="clear" w:color="auto" w:fill="auto"/>
            <w:vAlign w:val="center"/>
            <w:hideMark/>
          </w:tcPr>
          <w:p w14:paraId="7A9164D4" w14:textId="1229F97C" w:rsidR="005F2D4C" w:rsidRPr="005F2D4C" w:rsidRDefault="005F2D4C" w:rsidP="00102B03">
            <w:pPr>
              <w:overflowPunct/>
              <w:autoSpaceDE/>
              <w:autoSpaceDN/>
              <w:adjustRightInd/>
              <w:spacing w:after="0"/>
              <w:jc w:val="center"/>
              <w:textAlignment w:val="auto"/>
              <w:rPr>
                <w:color w:val="000000"/>
              </w:rPr>
            </w:pPr>
          </w:p>
        </w:tc>
        <w:tc>
          <w:tcPr>
            <w:tcW w:w="4953" w:type="dxa"/>
            <w:gridSpan w:val="3"/>
            <w:tcBorders>
              <w:top w:val="single" w:sz="8" w:space="0" w:color="000000"/>
              <w:left w:val="nil"/>
              <w:bottom w:val="single" w:sz="8" w:space="0" w:color="000000"/>
              <w:right w:val="single" w:sz="8" w:space="0" w:color="000000"/>
            </w:tcBorders>
            <w:shd w:val="clear" w:color="auto" w:fill="auto"/>
            <w:vAlign w:val="center"/>
            <w:hideMark/>
          </w:tcPr>
          <w:p w14:paraId="36D604C3"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-13</w:t>
            </w:r>
          </w:p>
        </w:tc>
        <w:tc>
          <w:tcPr>
            <w:tcW w:w="1297" w:type="dxa"/>
            <w:tcBorders>
              <w:top w:val="nil"/>
              <w:left w:val="nil"/>
              <w:bottom w:val="nil"/>
              <w:right w:val="single" w:sz="8" w:space="0" w:color="000000"/>
            </w:tcBorders>
            <w:shd w:val="clear" w:color="auto" w:fill="auto"/>
            <w:vAlign w:val="center"/>
            <w:hideMark/>
          </w:tcPr>
          <w:p w14:paraId="4B818E79" w14:textId="6F54CDA1" w:rsidR="005F2D4C" w:rsidRPr="005F2D4C" w:rsidRDefault="005F2D4C" w:rsidP="00102B03">
            <w:pPr>
              <w:overflowPunct/>
              <w:autoSpaceDE/>
              <w:autoSpaceDN/>
              <w:adjustRightInd/>
              <w:spacing w:after="0"/>
              <w:jc w:val="center"/>
              <w:textAlignment w:val="auto"/>
              <w:rPr>
                <w:rFonts w:ascii="Calibri" w:hAnsi="Calibri"/>
                <w:color w:val="000000"/>
                <w:sz w:val="22"/>
                <w:szCs w:val="22"/>
              </w:rPr>
            </w:pPr>
          </w:p>
        </w:tc>
      </w:tr>
      <w:tr w:rsidR="005F2D4C" w:rsidRPr="005F2D4C" w14:paraId="69BAAACD" w14:textId="77777777" w:rsidTr="00102B03">
        <w:trPr>
          <w:trHeight w:val="46"/>
        </w:trPr>
        <w:tc>
          <w:tcPr>
            <w:tcW w:w="2324" w:type="dxa"/>
            <w:tcBorders>
              <w:top w:val="nil"/>
              <w:left w:val="single" w:sz="8" w:space="0" w:color="000000"/>
              <w:bottom w:val="single" w:sz="8" w:space="0" w:color="000000"/>
              <w:right w:val="single" w:sz="8" w:space="0" w:color="000000"/>
            </w:tcBorders>
            <w:shd w:val="clear" w:color="auto" w:fill="auto"/>
            <w:vAlign w:val="center"/>
            <w:hideMark/>
          </w:tcPr>
          <w:p w14:paraId="6D62C61E"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 xml:space="preserve">± </w:t>
            </w:r>
            <w:proofErr w:type="spellStart"/>
            <w:r w:rsidRPr="005F2D4C">
              <w:rPr>
                <w:rFonts w:ascii="Arial" w:hAnsi="Arial" w:cs="Arial"/>
                <w:color w:val="000000"/>
                <w:sz w:val="18"/>
                <w:szCs w:val="18"/>
              </w:rPr>
              <w:t>BW</w:t>
            </w:r>
            <w:r w:rsidRPr="005F2D4C">
              <w:rPr>
                <w:rFonts w:ascii="Arial" w:hAnsi="Arial" w:cs="Arial"/>
                <w:color w:val="000000"/>
                <w:sz w:val="18"/>
                <w:szCs w:val="18"/>
                <w:vertAlign w:val="subscript"/>
              </w:rPr>
              <w:t>Channel</w:t>
            </w:r>
            <w:proofErr w:type="spellEnd"/>
            <w:r w:rsidRPr="005F2D4C">
              <w:rPr>
                <w:rFonts w:ascii="Arial" w:hAnsi="Arial" w:cs="Arial"/>
                <w:color w:val="000000"/>
                <w:sz w:val="18"/>
                <w:szCs w:val="18"/>
              </w:rPr>
              <w:t>-(BW</w:t>
            </w:r>
            <w:r w:rsidRPr="005F2D4C">
              <w:rPr>
                <w:rFonts w:ascii="Arial" w:hAnsi="Arial" w:cs="Arial"/>
                <w:color w:val="000000"/>
                <w:sz w:val="18"/>
                <w:szCs w:val="18"/>
                <w:vertAlign w:val="subscript"/>
              </w:rPr>
              <w:t>Channel</w:t>
            </w:r>
            <w:r w:rsidRPr="005F2D4C">
              <w:rPr>
                <w:rFonts w:ascii="Arial" w:hAnsi="Arial" w:cs="Arial"/>
                <w:color w:val="000000"/>
                <w:sz w:val="18"/>
                <w:szCs w:val="18"/>
              </w:rPr>
              <w:t>+5)</w:t>
            </w:r>
          </w:p>
        </w:tc>
        <w:tc>
          <w:tcPr>
            <w:tcW w:w="577" w:type="dxa"/>
            <w:tcBorders>
              <w:top w:val="nil"/>
              <w:left w:val="nil"/>
              <w:bottom w:val="single" w:sz="8" w:space="0" w:color="000000"/>
              <w:right w:val="single" w:sz="8" w:space="0" w:color="000000"/>
            </w:tcBorders>
            <w:shd w:val="clear" w:color="auto" w:fill="auto"/>
            <w:vAlign w:val="center"/>
            <w:hideMark/>
          </w:tcPr>
          <w:p w14:paraId="01576217" w14:textId="2361938C" w:rsidR="005F2D4C" w:rsidRPr="005F2D4C" w:rsidRDefault="005F2D4C" w:rsidP="00102B03">
            <w:pPr>
              <w:overflowPunct/>
              <w:autoSpaceDE/>
              <w:autoSpaceDN/>
              <w:adjustRightInd/>
              <w:spacing w:after="0"/>
              <w:jc w:val="center"/>
              <w:textAlignment w:val="auto"/>
              <w:rPr>
                <w:color w:val="000000"/>
              </w:rPr>
            </w:pPr>
          </w:p>
        </w:tc>
        <w:tc>
          <w:tcPr>
            <w:tcW w:w="4953" w:type="dxa"/>
            <w:gridSpan w:val="3"/>
            <w:tcBorders>
              <w:top w:val="single" w:sz="8" w:space="0" w:color="000000"/>
              <w:left w:val="nil"/>
              <w:bottom w:val="single" w:sz="8" w:space="0" w:color="000000"/>
              <w:right w:val="single" w:sz="8" w:space="0" w:color="000000"/>
            </w:tcBorders>
            <w:shd w:val="clear" w:color="auto" w:fill="auto"/>
            <w:vAlign w:val="center"/>
            <w:hideMark/>
          </w:tcPr>
          <w:p w14:paraId="105AC322" w14:textId="77777777" w:rsidR="005F2D4C" w:rsidRPr="005F2D4C" w:rsidRDefault="005F2D4C" w:rsidP="00102B03">
            <w:pPr>
              <w:overflowPunct/>
              <w:autoSpaceDE/>
              <w:autoSpaceDN/>
              <w:adjustRightInd/>
              <w:spacing w:after="0"/>
              <w:jc w:val="center"/>
              <w:textAlignment w:val="auto"/>
              <w:rPr>
                <w:rFonts w:ascii="Arial" w:hAnsi="Arial" w:cs="Arial"/>
                <w:color w:val="000000"/>
                <w:sz w:val="18"/>
                <w:szCs w:val="18"/>
              </w:rPr>
            </w:pPr>
            <w:r w:rsidRPr="005F2D4C">
              <w:rPr>
                <w:rFonts w:ascii="Arial" w:hAnsi="Arial" w:cs="Arial"/>
                <w:color w:val="000000"/>
                <w:sz w:val="18"/>
                <w:szCs w:val="18"/>
              </w:rPr>
              <w:t>-25</w:t>
            </w:r>
          </w:p>
        </w:tc>
        <w:tc>
          <w:tcPr>
            <w:tcW w:w="1297" w:type="dxa"/>
            <w:tcBorders>
              <w:top w:val="nil"/>
              <w:left w:val="nil"/>
              <w:bottom w:val="single" w:sz="8" w:space="0" w:color="000000"/>
              <w:right w:val="single" w:sz="8" w:space="0" w:color="000000"/>
            </w:tcBorders>
            <w:shd w:val="clear" w:color="auto" w:fill="auto"/>
            <w:vAlign w:val="center"/>
            <w:hideMark/>
          </w:tcPr>
          <w:p w14:paraId="04FC9A5E" w14:textId="716637A6" w:rsidR="005F2D4C" w:rsidRPr="005F2D4C" w:rsidRDefault="005F2D4C" w:rsidP="00102B03">
            <w:pPr>
              <w:overflowPunct/>
              <w:autoSpaceDE/>
              <w:autoSpaceDN/>
              <w:adjustRightInd/>
              <w:spacing w:after="0"/>
              <w:jc w:val="center"/>
              <w:textAlignment w:val="auto"/>
              <w:rPr>
                <w:rFonts w:ascii="Calibri" w:hAnsi="Calibri"/>
                <w:color w:val="000000"/>
                <w:sz w:val="22"/>
                <w:szCs w:val="22"/>
              </w:rPr>
            </w:pPr>
          </w:p>
        </w:tc>
      </w:tr>
    </w:tbl>
    <w:p w14:paraId="6991AD9C" w14:textId="77777777" w:rsidR="00102B03" w:rsidRDefault="00102B03" w:rsidP="00102B03">
      <w:pPr>
        <w:spacing w:after="0"/>
        <w:rPr>
          <w:rFonts w:eastAsia="Yu Mincho"/>
          <w:lang w:eastAsia="ja-JP"/>
        </w:rPr>
      </w:pPr>
    </w:p>
    <w:p w14:paraId="7971DAAE" w14:textId="023772ED" w:rsidR="00102B03" w:rsidRPr="005F2D4C" w:rsidRDefault="00102B03" w:rsidP="005F2D4C">
      <w:pPr>
        <w:rPr>
          <w:rFonts w:eastAsia="Yu Mincho"/>
          <w:lang w:eastAsia="ja-JP"/>
        </w:rPr>
      </w:pPr>
      <w:r>
        <w:rPr>
          <w:rFonts w:eastAsia="Yu Mincho"/>
          <w:lang w:eastAsia="ja-JP"/>
        </w:rPr>
        <w:t xml:space="preserve">In both cases, the ACLR and SEM requirement in </w:t>
      </w:r>
      <w:r>
        <w:t>TR 38.921 is relaxed or equal compared to TS 38.101-1. As such the general MPR is sufficient</w:t>
      </w:r>
      <w:r w:rsidR="008C2697">
        <w:t>.</w:t>
      </w:r>
      <w:r>
        <w:t xml:space="preserve"> </w:t>
      </w:r>
      <w:r w:rsidR="008C2697">
        <w:t>However,</w:t>
      </w:r>
      <w:r>
        <w:t xml:space="preserve"> what is the point of adopting relaxed requirement if </w:t>
      </w:r>
      <w:r w:rsidR="00571285">
        <w:t>this does not result in any MPR improvement</w:t>
      </w:r>
      <w:r w:rsidR="008C2697">
        <w:t>?</w:t>
      </w:r>
      <w:r w:rsidR="00571285">
        <w:t xml:space="preserve"> In </w:t>
      </w:r>
      <w:r w:rsidR="008C2697">
        <w:t xml:space="preserve">the </w:t>
      </w:r>
      <w:r w:rsidR="00571285">
        <w:t>next chapter</w:t>
      </w:r>
      <w:r w:rsidR="008C2697">
        <w:t>,</w:t>
      </w:r>
      <w:r w:rsidR="00571285">
        <w:t xml:space="preserve"> we will study if using relaxed requirements results in MPR improvements, at least for some of the allocation types.</w:t>
      </w:r>
    </w:p>
    <w:p w14:paraId="7CA1ADF5" w14:textId="21C50FA5" w:rsidR="00951B62" w:rsidRDefault="00102B03" w:rsidP="00951B62">
      <w:pPr>
        <w:pStyle w:val="Heading2"/>
        <w:spacing w:after="240"/>
        <w:rPr>
          <w:lang w:eastAsia="zh-CN"/>
        </w:rPr>
      </w:pPr>
      <w:r>
        <w:rPr>
          <w:lang w:eastAsia="zh-CN"/>
        </w:rPr>
        <w:t xml:space="preserve">Options for dedicated MPR improvement </w:t>
      </w:r>
    </w:p>
    <w:p w14:paraId="65E9BC64" w14:textId="2440A852" w:rsidR="00233402" w:rsidRDefault="00F0198C" w:rsidP="002A3E7C">
      <w:pPr>
        <w:spacing w:after="0"/>
        <w:rPr>
          <w:lang w:eastAsia="zh-CN"/>
        </w:rPr>
      </w:pPr>
      <w:r>
        <w:rPr>
          <w:lang w:eastAsia="zh-CN"/>
        </w:rPr>
        <w:t xml:space="preserve">If relaxed SEM or ACLR can be applicable for the 6GHz licensed operation, it </w:t>
      </w:r>
      <w:proofErr w:type="gramStart"/>
      <w:r>
        <w:rPr>
          <w:lang w:eastAsia="zh-CN"/>
        </w:rPr>
        <w:t>make</w:t>
      </w:r>
      <w:proofErr w:type="gramEnd"/>
      <w:r>
        <w:rPr>
          <w:lang w:eastAsia="zh-CN"/>
        </w:rPr>
        <w:t xml:space="preserve"> sense that opportunity for improved MPR is explored as at these frequencies</w:t>
      </w:r>
      <w:r w:rsidR="008C2697">
        <w:rPr>
          <w:lang w:eastAsia="zh-CN"/>
        </w:rPr>
        <w:t>,</w:t>
      </w:r>
      <w:r>
        <w:rPr>
          <w:lang w:eastAsia="zh-CN"/>
        </w:rPr>
        <w:t xml:space="preserve"> coverage is limited by UL especially for large DL bandwidths. This can benefit DFT-s-OFDM but even more CP-OFDM.</w:t>
      </w:r>
    </w:p>
    <w:p w14:paraId="4C60BC5B" w14:textId="63BA885F" w:rsidR="00F0198C" w:rsidRDefault="00F0198C" w:rsidP="002A3E7C">
      <w:pPr>
        <w:spacing w:after="0"/>
        <w:rPr>
          <w:lang w:eastAsia="zh-CN"/>
        </w:rPr>
      </w:pPr>
    </w:p>
    <w:p w14:paraId="060E7ECE" w14:textId="06F713CA" w:rsidR="00F0198C" w:rsidRDefault="00F0198C" w:rsidP="002A3E7C">
      <w:pPr>
        <w:spacing w:after="0"/>
        <w:rPr>
          <w:rFonts w:ascii="Arial" w:hAnsi="Arial" w:cs="Arial"/>
          <w:bCs/>
          <w:color w:val="000000"/>
          <w:sz w:val="18"/>
          <w:szCs w:val="18"/>
          <w:vertAlign w:val="subscript"/>
        </w:rPr>
      </w:pPr>
      <w:r>
        <w:rPr>
          <w:lang w:eastAsia="zh-CN"/>
        </w:rPr>
        <w:t xml:space="preserve">Looking at the relaxed SEM in the first 5MHz, it clearly </w:t>
      </w:r>
      <w:r w:rsidR="008C2697">
        <w:rPr>
          <w:lang w:eastAsia="zh-CN"/>
        </w:rPr>
        <w:t>allows</w:t>
      </w:r>
      <w:r>
        <w:rPr>
          <w:lang w:eastAsia="zh-CN"/>
        </w:rPr>
        <w:t xml:space="preserve"> for </w:t>
      </w:r>
      <w:r w:rsidR="008C2697">
        <w:rPr>
          <w:lang w:eastAsia="zh-CN"/>
        </w:rPr>
        <w:t>e</w:t>
      </w:r>
      <w:r>
        <w:rPr>
          <w:lang w:eastAsia="zh-CN"/>
        </w:rPr>
        <w:t xml:space="preserve">dge allocations to see improved MPR and potentially not </w:t>
      </w:r>
      <w:r w:rsidR="008C2697">
        <w:rPr>
          <w:lang w:eastAsia="zh-CN"/>
        </w:rPr>
        <w:t xml:space="preserve">even </w:t>
      </w:r>
      <w:r>
        <w:rPr>
          <w:lang w:eastAsia="zh-CN"/>
        </w:rPr>
        <w:t xml:space="preserve">being needed as the limitation comes from the first </w:t>
      </w:r>
      <w:r w:rsidRPr="00F0198C">
        <w:rPr>
          <w:lang w:eastAsia="zh-CN"/>
        </w:rPr>
        <w:t xml:space="preserve">MHz </w:t>
      </w:r>
      <w:proofErr w:type="spellStart"/>
      <w:r w:rsidRPr="00F0198C">
        <w:rPr>
          <w:rFonts w:ascii="Arial" w:hAnsi="Arial" w:cs="Arial"/>
          <w:bCs/>
          <w:color w:val="000000"/>
          <w:sz w:val="18"/>
          <w:szCs w:val="18"/>
        </w:rPr>
        <w:t>Δf</w:t>
      </w:r>
      <w:r w:rsidRPr="00F0198C">
        <w:rPr>
          <w:rFonts w:ascii="Arial" w:hAnsi="Arial" w:cs="Arial"/>
          <w:bCs/>
          <w:color w:val="000000"/>
          <w:sz w:val="18"/>
          <w:szCs w:val="18"/>
          <w:vertAlign w:val="subscript"/>
        </w:rPr>
        <w:t>OOB</w:t>
      </w:r>
      <w:proofErr w:type="spellEnd"/>
      <w:r>
        <w:rPr>
          <w:lang w:eastAsia="zh-CN"/>
        </w:rPr>
        <w:t xml:space="preserve"> and at moderate windowing filtering, still it must be checked that other limitations &gt;</w:t>
      </w:r>
      <w:r w:rsidRPr="00F0198C">
        <w:rPr>
          <w:lang w:eastAsia="zh-CN"/>
        </w:rPr>
        <w:t xml:space="preserve">5MHz </w:t>
      </w:r>
      <w:proofErr w:type="spellStart"/>
      <w:r w:rsidRPr="00F0198C">
        <w:rPr>
          <w:rFonts w:ascii="Arial" w:hAnsi="Arial" w:cs="Arial"/>
          <w:bCs/>
          <w:color w:val="000000"/>
          <w:sz w:val="18"/>
          <w:szCs w:val="18"/>
        </w:rPr>
        <w:t>Δf</w:t>
      </w:r>
      <w:r w:rsidRPr="00F0198C">
        <w:rPr>
          <w:rFonts w:ascii="Arial" w:hAnsi="Arial" w:cs="Arial"/>
          <w:bCs/>
          <w:color w:val="000000"/>
          <w:sz w:val="18"/>
          <w:szCs w:val="18"/>
          <w:vertAlign w:val="subscript"/>
        </w:rPr>
        <w:t>OOB</w:t>
      </w:r>
      <w:proofErr w:type="spellEnd"/>
      <w:r>
        <w:rPr>
          <w:rFonts w:ascii="Arial" w:hAnsi="Arial" w:cs="Arial"/>
          <w:bCs/>
          <w:color w:val="000000"/>
          <w:sz w:val="18"/>
          <w:szCs w:val="18"/>
          <w:vertAlign w:val="subscript"/>
        </w:rPr>
        <w:t>.</w:t>
      </w:r>
    </w:p>
    <w:p w14:paraId="61A62A58" w14:textId="77777777" w:rsidR="00F0198C" w:rsidRDefault="00F0198C" w:rsidP="00F0198C">
      <w:pPr>
        <w:spacing w:after="0"/>
        <w:rPr>
          <w:lang w:eastAsia="zh-CN"/>
        </w:rPr>
      </w:pPr>
    </w:p>
    <w:p w14:paraId="04C6F721" w14:textId="77777777" w:rsidR="00B15CF2" w:rsidRDefault="00F0198C" w:rsidP="00F0198C">
      <w:pPr>
        <w:rPr>
          <w:lang w:eastAsia="zh-CN"/>
        </w:rPr>
      </w:pPr>
      <w:r>
        <w:rPr>
          <w:lang w:eastAsia="zh-CN"/>
        </w:rPr>
        <w:t xml:space="preserve">The other relaxation is a 4dB lower ACLR that can benefit large allocations as long as other SEM limitation does not occur. </w:t>
      </w:r>
    </w:p>
    <w:p w14:paraId="639DB1A7" w14:textId="17CC976B" w:rsidR="00B15CF2" w:rsidRDefault="00B15CF2" w:rsidP="00F0198C">
      <w:pPr>
        <w:rPr>
          <w:lang w:eastAsia="zh-CN"/>
        </w:rPr>
      </w:pPr>
      <w:r>
        <w:rPr>
          <w:lang w:eastAsia="zh-CN"/>
        </w:rPr>
        <w:t>When looking at the current PC3 and PC2 MPR requirement</w:t>
      </w:r>
      <w:r w:rsidR="008C2697">
        <w:rPr>
          <w:lang w:eastAsia="zh-CN"/>
        </w:rPr>
        <w:t>s</w:t>
      </w:r>
      <w:r>
        <w:rPr>
          <w:lang w:eastAsia="zh-CN"/>
        </w:rPr>
        <w:t xml:space="preserve"> </w:t>
      </w:r>
      <w:r w:rsidR="0005759D">
        <w:rPr>
          <w:lang w:eastAsia="zh-CN"/>
        </w:rPr>
        <w:t xml:space="preserve">for QPSK </w:t>
      </w:r>
      <w:r>
        <w:rPr>
          <w:lang w:eastAsia="zh-CN"/>
        </w:rPr>
        <w:t>reproduced in Table 2, the cases that are ACLR limited are highlighted in yellow and the cases that are limited by the first 5MHz SEM are highlighted in green and</w:t>
      </w:r>
      <w:r w:rsidR="008C2697">
        <w:rPr>
          <w:lang w:eastAsia="zh-CN"/>
        </w:rPr>
        <w:t>,</w:t>
      </w:r>
      <w:r>
        <w:rPr>
          <w:lang w:eastAsia="zh-CN"/>
        </w:rPr>
        <w:t xml:space="preserve"> unless other </w:t>
      </w:r>
      <w:r>
        <w:rPr>
          <w:lang w:eastAsia="zh-CN"/>
        </w:rPr>
        <w:lastRenderedPageBreak/>
        <w:t xml:space="preserve">limitations appear </w:t>
      </w:r>
      <w:r w:rsidR="008C2697">
        <w:rPr>
          <w:lang w:eastAsia="zh-CN"/>
        </w:rPr>
        <w:t>,</w:t>
      </w:r>
      <w:r>
        <w:rPr>
          <w:lang w:eastAsia="zh-CN"/>
        </w:rPr>
        <w:t>they could be reduced by up to 3dB.</w:t>
      </w:r>
      <w:r w:rsidR="00093401">
        <w:rPr>
          <w:lang w:eastAsia="zh-CN"/>
        </w:rPr>
        <w:t xml:space="preserve"> Inner allocations are in general limited by in-band requirements like IBE and EVM.</w:t>
      </w:r>
    </w:p>
    <w:p w14:paraId="6131A3B5" w14:textId="7528A845" w:rsidR="00B15CF2" w:rsidRPr="00A1115A" w:rsidRDefault="00B15CF2" w:rsidP="00B15CF2">
      <w:pPr>
        <w:pStyle w:val="TH"/>
      </w:pPr>
      <w:r w:rsidRPr="00A1115A">
        <w:t>Table Maximum power reduction (MPR) for power class 2</w:t>
      </w:r>
    </w:p>
    <w:p w14:paraId="7997AADB" w14:textId="517EFB27" w:rsidR="00B15CF2" w:rsidRDefault="00B15CF2" w:rsidP="00B15CF2">
      <w:pPr>
        <w:pStyle w:val="Caption"/>
        <w:keepNext/>
        <w:jc w:val="center"/>
      </w:pPr>
      <w:r>
        <w:t xml:space="preserve">Table </w:t>
      </w:r>
      <w:r w:rsidR="00557199">
        <w:fldChar w:fldCharType="begin"/>
      </w:r>
      <w:r w:rsidR="00557199">
        <w:instrText xml:space="preserve"> SEQ Table \* ARABIC </w:instrText>
      </w:r>
      <w:r w:rsidR="00557199">
        <w:fldChar w:fldCharType="separate"/>
      </w:r>
      <w:r w:rsidR="009224C7">
        <w:rPr>
          <w:noProof/>
        </w:rPr>
        <w:t>2</w:t>
      </w:r>
      <w:r w:rsidR="00557199">
        <w:rPr>
          <w:noProof/>
        </w:rPr>
        <w:fldChar w:fldCharType="end"/>
      </w:r>
      <w:r>
        <w:t>: PC3 and PC2 MPR table with allocations that could benefit from relaxed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831"/>
        <w:gridCol w:w="2097"/>
        <w:gridCol w:w="2097"/>
        <w:gridCol w:w="2057"/>
      </w:tblGrid>
      <w:tr w:rsidR="00B15CF2" w:rsidRPr="00A1115A" w14:paraId="7720B8EB" w14:textId="77777777" w:rsidTr="00FF60F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8624E44" w14:textId="77777777" w:rsidR="00B15CF2" w:rsidRPr="00A1115A" w:rsidRDefault="00B15CF2" w:rsidP="00FF60F2">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E6155AD" w14:textId="568B4184" w:rsidR="00B15CF2" w:rsidRPr="00A1115A" w:rsidRDefault="00B15CF2" w:rsidP="00FF60F2">
            <w:pPr>
              <w:pStyle w:val="TAH"/>
            </w:pPr>
            <w:r w:rsidRPr="00A1115A">
              <w:t xml:space="preserve">MPR </w:t>
            </w:r>
            <w:r w:rsidR="0005759D">
              <w:t xml:space="preserve">for </w:t>
            </w:r>
            <w:r w:rsidR="0005759D" w:rsidRPr="0005759D">
              <w:rPr>
                <w:b w:val="0"/>
              </w:rPr>
              <w:t>PC3</w:t>
            </w:r>
            <w:r w:rsidR="0005759D">
              <w:t>/PC2</w:t>
            </w:r>
            <w:r w:rsidRPr="00A1115A">
              <w:t>(dB)</w:t>
            </w:r>
            <w:r w:rsidR="0005759D">
              <w:t xml:space="preserve"> / RB allocation</w:t>
            </w:r>
          </w:p>
        </w:tc>
      </w:tr>
      <w:tr w:rsidR="00B15CF2" w:rsidRPr="00A1115A" w14:paraId="6129B6FE" w14:textId="77777777" w:rsidTr="00FF60F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D62FEF1" w14:textId="77777777" w:rsidR="00B15CF2" w:rsidRPr="00A1115A" w:rsidRDefault="00B15CF2" w:rsidP="00FF60F2">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9DB28DD" w14:textId="482B6A15" w:rsidR="00B15CF2" w:rsidRPr="00A1115A" w:rsidRDefault="0005759D" w:rsidP="0005759D">
            <w:pPr>
              <w:pStyle w:val="TAH"/>
            </w:pPr>
            <w:r>
              <w:t>Edge</w:t>
            </w:r>
          </w:p>
        </w:tc>
        <w:tc>
          <w:tcPr>
            <w:tcW w:w="2097" w:type="dxa"/>
            <w:tcBorders>
              <w:top w:val="single" w:sz="4" w:space="0" w:color="auto"/>
              <w:left w:val="single" w:sz="4" w:space="0" w:color="auto"/>
              <w:bottom w:val="single" w:sz="4" w:space="0" w:color="auto"/>
              <w:right w:val="single" w:sz="4" w:space="0" w:color="auto"/>
            </w:tcBorders>
            <w:hideMark/>
          </w:tcPr>
          <w:p w14:paraId="07BB5A70" w14:textId="4675931B" w:rsidR="00B15CF2" w:rsidRPr="00A1115A" w:rsidRDefault="0005759D" w:rsidP="0005759D">
            <w:pPr>
              <w:pStyle w:val="TAH"/>
            </w:pPr>
            <w:r>
              <w:t>Outer</w:t>
            </w:r>
          </w:p>
        </w:tc>
        <w:tc>
          <w:tcPr>
            <w:tcW w:w="2057" w:type="dxa"/>
            <w:tcBorders>
              <w:top w:val="single" w:sz="4" w:space="0" w:color="auto"/>
              <w:left w:val="single" w:sz="4" w:space="0" w:color="auto"/>
              <w:bottom w:val="single" w:sz="4" w:space="0" w:color="auto"/>
              <w:right w:val="single" w:sz="4" w:space="0" w:color="auto"/>
            </w:tcBorders>
            <w:hideMark/>
          </w:tcPr>
          <w:p w14:paraId="39893E59" w14:textId="032BD73C" w:rsidR="00B15CF2" w:rsidRPr="00A1115A" w:rsidRDefault="0005759D" w:rsidP="0005759D">
            <w:pPr>
              <w:pStyle w:val="TAH"/>
            </w:pPr>
            <w:r>
              <w:t>Inner</w:t>
            </w:r>
          </w:p>
        </w:tc>
      </w:tr>
      <w:tr w:rsidR="00B15CF2" w:rsidRPr="00A1115A" w14:paraId="4D6810FA" w14:textId="77777777" w:rsidTr="0005759D">
        <w:trPr>
          <w:jc w:val="center"/>
        </w:trPr>
        <w:tc>
          <w:tcPr>
            <w:tcW w:w="1476" w:type="dxa"/>
            <w:tcBorders>
              <w:top w:val="nil"/>
              <w:left w:val="single" w:sz="4" w:space="0" w:color="auto"/>
              <w:bottom w:val="nil"/>
              <w:right w:val="single" w:sz="4" w:space="0" w:color="auto"/>
            </w:tcBorders>
            <w:shd w:val="clear" w:color="auto" w:fill="auto"/>
            <w:hideMark/>
          </w:tcPr>
          <w:p w14:paraId="108C7F08" w14:textId="7BC58D0C" w:rsidR="00B15CF2" w:rsidRPr="00A1115A" w:rsidRDefault="0005759D" w:rsidP="00FF60F2">
            <w:pPr>
              <w:pStyle w:val="TAC"/>
            </w:pPr>
            <w:r w:rsidRPr="00A1115A">
              <w:t>DFT-s-OFDM</w:t>
            </w:r>
          </w:p>
        </w:tc>
        <w:tc>
          <w:tcPr>
            <w:tcW w:w="831" w:type="dxa"/>
            <w:tcBorders>
              <w:top w:val="single" w:sz="4" w:space="0" w:color="auto"/>
              <w:left w:val="single" w:sz="4" w:space="0" w:color="auto"/>
              <w:bottom w:val="single" w:sz="4" w:space="0" w:color="auto"/>
              <w:right w:val="single" w:sz="4" w:space="0" w:color="auto"/>
            </w:tcBorders>
          </w:tcPr>
          <w:p w14:paraId="78F20DBA" w14:textId="77777777" w:rsidR="00B15CF2" w:rsidRPr="00A1115A" w:rsidRDefault="00B15CF2" w:rsidP="00FF60F2">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9057EC5" w14:textId="6F6CE47A" w:rsidR="00B15CF2" w:rsidRPr="00093401" w:rsidRDefault="00B15CF2" w:rsidP="00FF60F2">
            <w:pPr>
              <w:pStyle w:val="TAC"/>
              <w:rPr>
                <w:rFonts w:cs="Arial"/>
              </w:rPr>
            </w:pPr>
            <w:r w:rsidRPr="00093401">
              <w:rPr>
                <w:rFonts w:cs="Arial"/>
              </w:rPr>
              <w:t xml:space="preserve">≤ </w:t>
            </w:r>
            <w:r w:rsidR="0005759D" w:rsidRPr="00093401">
              <w:rPr>
                <w:rFonts w:cs="Arial"/>
                <w:highlight w:val="yellow"/>
              </w:rPr>
              <w:t>1</w:t>
            </w:r>
            <w:r w:rsidR="0005759D" w:rsidRPr="00093401">
              <w:rPr>
                <w:rFonts w:cs="Arial"/>
              </w:rPr>
              <w:t>/</w:t>
            </w:r>
            <w:r w:rsidRPr="00093401">
              <w:rPr>
                <w:rFonts w:cs="Arial"/>
                <w:b/>
                <w:highlight w:val="green"/>
              </w:rPr>
              <w:t>3.5</w:t>
            </w:r>
          </w:p>
        </w:tc>
        <w:tc>
          <w:tcPr>
            <w:tcW w:w="2097" w:type="dxa"/>
            <w:tcBorders>
              <w:top w:val="single" w:sz="4" w:space="0" w:color="auto"/>
              <w:left w:val="single" w:sz="4" w:space="0" w:color="auto"/>
              <w:bottom w:val="single" w:sz="4" w:space="0" w:color="auto"/>
              <w:right w:val="single" w:sz="4" w:space="0" w:color="auto"/>
            </w:tcBorders>
            <w:hideMark/>
          </w:tcPr>
          <w:p w14:paraId="62DD427A" w14:textId="0AD56390" w:rsidR="00B15CF2" w:rsidRPr="0005759D" w:rsidRDefault="00B15CF2" w:rsidP="00FF60F2">
            <w:pPr>
              <w:pStyle w:val="TAC"/>
              <w:rPr>
                <w:rFonts w:cs="Arial"/>
                <w:highlight w:val="yellow"/>
              </w:rPr>
            </w:pPr>
            <w:r w:rsidRPr="0005759D">
              <w:rPr>
                <w:rFonts w:cs="Arial"/>
                <w:highlight w:val="yellow"/>
              </w:rPr>
              <w:t xml:space="preserve">≤ </w:t>
            </w:r>
            <w:r w:rsidR="00B92F33">
              <w:rPr>
                <w:rFonts w:cs="Arial"/>
                <w:highlight w:val="yellow"/>
              </w:rPr>
              <w:t>1/</w:t>
            </w:r>
            <w:r w:rsidRPr="0005759D">
              <w:rPr>
                <w:rFonts w:cs="Arial"/>
                <w:b/>
                <w:highlight w:val="yellow"/>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5D4C2659" w14:textId="0BE51BEC" w:rsidR="00B15CF2" w:rsidRPr="00A1115A" w:rsidRDefault="00B15CF2" w:rsidP="00FF60F2">
            <w:pPr>
              <w:pStyle w:val="TAC"/>
              <w:rPr>
                <w:rFonts w:cs="Arial"/>
              </w:rPr>
            </w:pPr>
            <w:r w:rsidRPr="00A1115A">
              <w:rPr>
                <w:rFonts w:cs="Arial"/>
                <w:lang w:val="en-CA"/>
              </w:rPr>
              <w:t>0</w:t>
            </w:r>
            <w:r w:rsidR="0005759D">
              <w:rPr>
                <w:rFonts w:cs="Arial"/>
                <w:lang w:val="en-CA"/>
              </w:rPr>
              <w:t>/</w:t>
            </w:r>
            <w:r w:rsidR="0005759D" w:rsidRPr="00093401">
              <w:rPr>
                <w:rFonts w:cs="Arial"/>
                <w:b/>
                <w:lang w:val="en-CA"/>
              </w:rPr>
              <w:t>0</w:t>
            </w:r>
          </w:p>
        </w:tc>
      </w:tr>
      <w:tr w:rsidR="00B15CF2" w:rsidRPr="00A1115A" w14:paraId="57D9A5B6" w14:textId="77777777" w:rsidTr="0005759D">
        <w:trPr>
          <w:jc w:val="center"/>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C744" w14:textId="77777777" w:rsidR="00B15CF2" w:rsidRPr="00A1115A" w:rsidRDefault="00B15CF2" w:rsidP="00FF60F2">
            <w:pPr>
              <w:pStyle w:val="TAC"/>
              <w:rPr>
                <w:rFonts w:cs="Arial"/>
                <w:lang w:eastAsia="zh-CN"/>
              </w:rPr>
            </w:pPr>
            <w:r w:rsidRPr="00A1115A">
              <w:rPr>
                <w:rFonts w:cs="Arial"/>
              </w:rPr>
              <w:t>CP-OFDM</w:t>
            </w:r>
          </w:p>
        </w:tc>
        <w:tc>
          <w:tcPr>
            <w:tcW w:w="831" w:type="dxa"/>
            <w:tcBorders>
              <w:top w:val="single" w:sz="4" w:space="0" w:color="auto"/>
              <w:left w:val="single" w:sz="4" w:space="0" w:color="auto"/>
              <w:bottom w:val="single" w:sz="4" w:space="0" w:color="auto"/>
              <w:right w:val="single" w:sz="4" w:space="0" w:color="auto"/>
            </w:tcBorders>
          </w:tcPr>
          <w:p w14:paraId="6A633A61" w14:textId="77777777" w:rsidR="00B15CF2" w:rsidRPr="00A1115A" w:rsidRDefault="00B15CF2" w:rsidP="00FF60F2">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BC3860C" w14:textId="3014AD76" w:rsidR="00B15CF2" w:rsidRPr="00093401" w:rsidRDefault="00B15CF2" w:rsidP="00FF60F2">
            <w:pPr>
              <w:pStyle w:val="TAC"/>
              <w:rPr>
                <w:rFonts w:cs="Arial"/>
              </w:rPr>
            </w:pPr>
            <w:r w:rsidRPr="00093401">
              <w:rPr>
                <w:rFonts w:cs="Arial"/>
              </w:rPr>
              <w:t xml:space="preserve">≤ </w:t>
            </w:r>
            <w:r w:rsidR="0005759D" w:rsidRPr="00093401">
              <w:rPr>
                <w:rFonts w:cs="Arial"/>
                <w:highlight w:val="yellow"/>
              </w:rPr>
              <w:t>3</w:t>
            </w:r>
            <w:r w:rsidR="0005759D" w:rsidRPr="00093401">
              <w:rPr>
                <w:rFonts w:cs="Arial"/>
              </w:rPr>
              <w:t>/</w:t>
            </w:r>
            <w:r w:rsidRPr="00093401">
              <w:rPr>
                <w:rFonts w:cs="Arial"/>
                <w:b/>
                <w:highlight w:val="green"/>
              </w:rPr>
              <w:t>3.5</w:t>
            </w:r>
          </w:p>
        </w:tc>
        <w:tc>
          <w:tcPr>
            <w:tcW w:w="2097" w:type="dxa"/>
            <w:tcBorders>
              <w:top w:val="single" w:sz="4" w:space="0" w:color="auto"/>
              <w:left w:val="single" w:sz="4" w:space="0" w:color="auto"/>
              <w:bottom w:val="single" w:sz="4" w:space="0" w:color="auto"/>
              <w:right w:val="single" w:sz="4" w:space="0" w:color="auto"/>
            </w:tcBorders>
            <w:hideMark/>
          </w:tcPr>
          <w:p w14:paraId="16FA649C" w14:textId="244F4622" w:rsidR="00B15CF2" w:rsidRPr="0005759D" w:rsidRDefault="00B15CF2" w:rsidP="00FF60F2">
            <w:pPr>
              <w:pStyle w:val="TAC"/>
              <w:rPr>
                <w:rFonts w:cs="Arial"/>
                <w:highlight w:val="yellow"/>
              </w:rPr>
            </w:pPr>
            <w:r w:rsidRPr="0005759D">
              <w:rPr>
                <w:rFonts w:cs="Arial"/>
                <w:highlight w:val="yellow"/>
              </w:rPr>
              <w:t xml:space="preserve">≤ </w:t>
            </w:r>
            <w:r w:rsidR="0005759D" w:rsidRPr="0005759D">
              <w:rPr>
                <w:rFonts w:cs="Arial"/>
                <w:highlight w:val="yellow"/>
              </w:rPr>
              <w:t>3/</w:t>
            </w:r>
            <w:r w:rsidRPr="0005759D">
              <w:rPr>
                <w:rFonts w:cs="Arial"/>
                <w:b/>
                <w:highlight w:val="yellow"/>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1EF27E07" w14:textId="43ECDA96" w:rsidR="00B15CF2" w:rsidRPr="00A1115A" w:rsidRDefault="00B15CF2" w:rsidP="00FF60F2">
            <w:pPr>
              <w:pStyle w:val="TAC"/>
              <w:rPr>
                <w:rFonts w:cs="Arial"/>
              </w:rPr>
            </w:pPr>
            <w:r w:rsidRPr="00A1115A">
              <w:rPr>
                <w:rFonts w:cs="Arial"/>
              </w:rPr>
              <w:t>≤</w:t>
            </w:r>
            <w:r w:rsidRPr="00A1115A">
              <w:rPr>
                <w:rFonts w:cs="Arial"/>
                <w:lang w:val="en-CA"/>
              </w:rPr>
              <w:t xml:space="preserve"> </w:t>
            </w:r>
            <w:r w:rsidR="0005759D">
              <w:rPr>
                <w:rFonts w:cs="Arial"/>
                <w:lang w:val="en-CA"/>
              </w:rPr>
              <w:t>1.5/</w:t>
            </w:r>
            <w:r w:rsidRPr="00093401">
              <w:rPr>
                <w:rFonts w:cs="Arial"/>
                <w:b/>
                <w:lang w:val="en-CA"/>
              </w:rPr>
              <w:t>1.5</w:t>
            </w:r>
          </w:p>
        </w:tc>
      </w:tr>
    </w:tbl>
    <w:p w14:paraId="10425E05" w14:textId="77777777" w:rsidR="0005759D" w:rsidRDefault="0005759D" w:rsidP="0005759D">
      <w:pPr>
        <w:spacing w:after="0"/>
        <w:rPr>
          <w:lang w:eastAsia="zh-CN"/>
        </w:rPr>
      </w:pPr>
    </w:p>
    <w:p w14:paraId="682C394C" w14:textId="7F6A27CA" w:rsidR="00F0198C" w:rsidRDefault="00F0198C" w:rsidP="000B355C">
      <w:pPr>
        <w:rPr>
          <w:rFonts w:ascii="Arial" w:hAnsi="Arial" w:cs="Arial"/>
          <w:bCs/>
          <w:color w:val="000000"/>
          <w:sz w:val="18"/>
          <w:szCs w:val="18"/>
          <w:vertAlign w:val="subscript"/>
        </w:rPr>
      </w:pPr>
      <w:r>
        <w:rPr>
          <w:lang w:eastAsia="zh-CN"/>
        </w:rPr>
        <w:t xml:space="preserve">In order to quickly evaluate </w:t>
      </w:r>
      <w:r w:rsidR="00B15CF2">
        <w:rPr>
          <w:lang w:eastAsia="zh-CN"/>
        </w:rPr>
        <w:t xml:space="preserve">the potential for improved MPR, we reused some available data and checked the cases where limitations come from either ACLR or SEM within the first 5MHz </w:t>
      </w:r>
      <w:proofErr w:type="spellStart"/>
      <w:r w:rsidR="00B15CF2" w:rsidRPr="00B15CF2">
        <w:rPr>
          <w:rFonts w:ascii="Arial" w:hAnsi="Arial" w:cs="Arial"/>
          <w:bCs/>
          <w:color w:val="000000"/>
          <w:sz w:val="18"/>
          <w:szCs w:val="18"/>
        </w:rPr>
        <w:t>Δf</w:t>
      </w:r>
      <w:r w:rsidR="00B15CF2" w:rsidRPr="00B15CF2">
        <w:rPr>
          <w:rFonts w:ascii="Arial" w:hAnsi="Arial" w:cs="Arial"/>
          <w:bCs/>
          <w:color w:val="000000"/>
          <w:sz w:val="18"/>
          <w:szCs w:val="18"/>
          <w:vertAlign w:val="subscript"/>
        </w:rPr>
        <w:t>OOB</w:t>
      </w:r>
      <w:proofErr w:type="spellEnd"/>
      <w:r w:rsidR="00B15CF2" w:rsidRPr="00B15CF2">
        <w:rPr>
          <w:rFonts w:ascii="Arial" w:hAnsi="Arial" w:cs="Arial"/>
          <w:bCs/>
          <w:color w:val="000000"/>
          <w:sz w:val="18"/>
          <w:szCs w:val="18"/>
          <w:vertAlign w:val="subscript"/>
        </w:rPr>
        <w:t>.</w:t>
      </w:r>
    </w:p>
    <w:p w14:paraId="3E403E4C" w14:textId="732706C5" w:rsidR="000B355C" w:rsidRDefault="000B355C" w:rsidP="000B355C">
      <w:pPr>
        <w:rPr>
          <w:lang w:eastAsia="zh-CN"/>
        </w:rPr>
      </w:pPr>
      <w:r>
        <w:rPr>
          <w:lang w:eastAsia="zh-CN"/>
        </w:rPr>
        <w:t>Table 3 presents the measured results for required back off to meet ACLR and SEM from TS 38.101 or TR 38.921 for PC3 while Table 4 is for PC2. Measurements cover 15KHz SCS which is the most critical due to smaller guard bands for 5, 20 and 50MHz</w:t>
      </w:r>
      <w:r w:rsidR="00573DCF">
        <w:rPr>
          <w:lang w:eastAsia="zh-CN"/>
        </w:rPr>
        <w:t xml:space="preserve">. A number of CP-OFDM and DFT-s-OFDM allocations are measured but these are restricted to what was used as reference QPSK measurements for previous evaluations for </w:t>
      </w:r>
      <w:proofErr w:type="spellStart"/>
      <w:r w:rsidR="00573DCF">
        <w:rPr>
          <w:lang w:eastAsia="zh-CN"/>
        </w:rPr>
        <w:t>TxD</w:t>
      </w:r>
      <w:proofErr w:type="spellEnd"/>
      <w:r w:rsidR="00573DCF">
        <w:rPr>
          <w:lang w:eastAsia="zh-CN"/>
        </w:rPr>
        <w:t xml:space="preserve"> and pi/2BPSK. Still this provides an insight on the potential gain in MPR if relaxed ACLR and SEM requirement from 38.921 are used.</w:t>
      </w:r>
    </w:p>
    <w:p w14:paraId="3F90F72A" w14:textId="57597DAD" w:rsidR="00573DCF" w:rsidRDefault="00573DCF" w:rsidP="00D92E82">
      <w:pPr>
        <w:spacing w:after="0"/>
        <w:rPr>
          <w:lang w:eastAsia="zh-CN"/>
        </w:rPr>
      </w:pPr>
      <w:r>
        <w:rPr>
          <w:lang w:eastAsia="zh-CN"/>
        </w:rPr>
        <w:t>In the tables the limiting factors, maximum output power or mar</w:t>
      </w:r>
      <w:r w:rsidR="00D92E82">
        <w:rPr>
          <w:lang w:eastAsia="zh-CN"/>
        </w:rPr>
        <w:t>gin to requirements are quoted:</w:t>
      </w:r>
    </w:p>
    <w:p w14:paraId="3F60254D" w14:textId="77777777" w:rsidR="00D92E82" w:rsidRDefault="00D92E82" w:rsidP="00D92E82">
      <w:pPr>
        <w:pStyle w:val="ListParagraph"/>
        <w:numPr>
          <w:ilvl w:val="0"/>
          <w:numId w:val="24"/>
        </w:numPr>
        <w:rPr>
          <w:lang w:eastAsia="zh-CN"/>
        </w:rPr>
      </w:pPr>
      <w:r>
        <w:rPr>
          <w:lang w:eastAsia="zh-CN"/>
        </w:rPr>
        <w:t xml:space="preserve">Limiting factor are: </w:t>
      </w:r>
    </w:p>
    <w:p w14:paraId="1F372C18" w14:textId="0FF69683" w:rsidR="00D92E82" w:rsidRDefault="00D92E82" w:rsidP="00093401">
      <w:pPr>
        <w:pStyle w:val="ListParagraph"/>
        <w:numPr>
          <w:ilvl w:val="1"/>
          <w:numId w:val="24"/>
        </w:numPr>
        <w:rPr>
          <w:lang w:eastAsia="zh-CN"/>
        </w:rPr>
      </w:pPr>
      <w:r>
        <w:rPr>
          <w:lang w:eastAsia="zh-CN"/>
        </w:rPr>
        <w:t xml:space="preserve">ACLRXX where XX is the target ACLR value. Note that in absence of proposed ACLR </w:t>
      </w:r>
      <w:proofErr w:type="spellStart"/>
      <w:r>
        <w:rPr>
          <w:lang w:eastAsia="zh-CN"/>
        </w:rPr>
        <w:t>valur</w:t>
      </w:r>
      <w:proofErr w:type="spellEnd"/>
      <w:r>
        <w:rPr>
          <w:lang w:eastAsia="zh-CN"/>
        </w:rPr>
        <w:t xml:space="preserve"> for PC2 in 38.921, 27dB is targeted, reproducing the 1dB difference in PC2 ACLR versus PC3 ACLR for NR</w:t>
      </w:r>
    </w:p>
    <w:p w14:paraId="431B78D0" w14:textId="316EF3F6" w:rsidR="00D92E82" w:rsidRDefault="00D92E82" w:rsidP="00093401">
      <w:pPr>
        <w:pStyle w:val="ListParagraph"/>
        <w:numPr>
          <w:ilvl w:val="1"/>
          <w:numId w:val="24"/>
        </w:numPr>
        <w:rPr>
          <w:lang w:eastAsia="zh-CN"/>
        </w:rPr>
      </w:pPr>
      <w:r>
        <w:rPr>
          <w:lang w:eastAsia="zh-CN"/>
        </w:rPr>
        <w:t>S-XX/1%BW or S-XX/30kHz is for the SEM requirement in the first MHz</w:t>
      </w:r>
    </w:p>
    <w:p w14:paraId="42361FCE" w14:textId="70415B28" w:rsidR="00D92E82" w:rsidRDefault="00D92E82" w:rsidP="00093401">
      <w:pPr>
        <w:pStyle w:val="ListParagraph"/>
        <w:numPr>
          <w:ilvl w:val="1"/>
          <w:numId w:val="24"/>
        </w:numPr>
        <w:rPr>
          <w:lang w:eastAsia="zh-CN"/>
        </w:rPr>
      </w:pPr>
      <w:r>
        <w:rPr>
          <w:lang w:eastAsia="zh-CN"/>
        </w:rPr>
        <w:t>S-XX/MHz is for the SEM requirement in the -XX/MHz requirement segment</w:t>
      </w:r>
    </w:p>
    <w:p w14:paraId="1652F875" w14:textId="32276597" w:rsidR="00D92E82" w:rsidRPr="00D92E82" w:rsidRDefault="00D92E82" w:rsidP="00D92E82">
      <w:pPr>
        <w:pStyle w:val="ListParagraph"/>
        <w:numPr>
          <w:ilvl w:val="0"/>
          <w:numId w:val="24"/>
        </w:numPr>
        <w:rPr>
          <w:lang w:eastAsia="zh-CN"/>
        </w:rPr>
      </w:pPr>
      <w:r>
        <w:rPr>
          <w:lang w:eastAsia="zh-CN"/>
        </w:rPr>
        <w:t xml:space="preserve">Measured values </w:t>
      </w:r>
      <w:r w:rsidR="005D08AF">
        <w:rPr>
          <w:lang w:eastAsia="zh-CN"/>
        </w:rPr>
        <w:t>are</w:t>
      </w:r>
      <w:r>
        <w:rPr>
          <w:lang w:eastAsia="zh-CN"/>
        </w:rPr>
        <w:t xml:space="preserve"> either the maximum power level when &lt; </w:t>
      </w:r>
      <w:proofErr w:type="spellStart"/>
      <w:r>
        <w:rPr>
          <w:lang w:eastAsia="zh-CN"/>
        </w:rPr>
        <w:t>PCmax</w:t>
      </w:r>
      <w:proofErr w:type="spellEnd"/>
      <w:r>
        <w:rPr>
          <w:lang w:eastAsia="zh-CN"/>
        </w:rPr>
        <w:t xml:space="preserve"> or the lowest margin to requirement for negative numbers</w:t>
      </w:r>
      <w:r w:rsidR="005D08AF">
        <w:rPr>
          <w:lang w:eastAsia="zh-CN"/>
        </w:rPr>
        <w:t>.</w:t>
      </w:r>
    </w:p>
    <w:p w14:paraId="7BB8D02C" w14:textId="04069D29" w:rsidR="009224C7" w:rsidRDefault="009224C7" w:rsidP="009224C7">
      <w:pPr>
        <w:pStyle w:val="Caption"/>
        <w:keepNext/>
        <w:jc w:val="center"/>
      </w:pPr>
      <w:r>
        <w:lastRenderedPageBreak/>
        <w:t xml:space="preserve">Table </w:t>
      </w:r>
      <w:fldSimple w:instr=" SEQ Table \* ARABIC ">
        <w:r>
          <w:rPr>
            <w:noProof/>
          </w:rPr>
          <w:t>3</w:t>
        </w:r>
      </w:fldSimple>
      <w:r>
        <w:t>: PC2 evaluation of back-off versus ACLR/SEM requirement</w:t>
      </w:r>
    </w:p>
    <w:p w14:paraId="0A53B5F5" w14:textId="145BD255" w:rsidR="0005759D" w:rsidRDefault="009224C7" w:rsidP="009224C7">
      <w:pPr>
        <w:jc w:val="center"/>
        <w:rPr>
          <w:lang w:eastAsia="zh-CN"/>
        </w:rPr>
      </w:pPr>
      <w:r w:rsidRPr="009224C7">
        <w:rPr>
          <w:noProof/>
        </w:rPr>
        <w:drawing>
          <wp:inline distT="0" distB="0" distL="0" distR="0" wp14:anchorId="15BAB2AD" wp14:editId="62A08BA5">
            <wp:extent cx="5995219" cy="6512243"/>
            <wp:effectExtent l="0" t="0" r="571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8159" cy="6515437"/>
                    </a:xfrm>
                    <a:prstGeom prst="rect">
                      <a:avLst/>
                    </a:prstGeom>
                    <a:noFill/>
                    <a:ln>
                      <a:noFill/>
                    </a:ln>
                  </pic:spPr>
                </pic:pic>
              </a:graphicData>
            </a:graphic>
          </wp:inline>
        </w:drawing>
      </w:r>
    </w:p>
    <w:p w14:paraId="44059621" w14:textId="37C37B7A" w:rsidR="009224C7" w:rsidRDefault="009224C7" w:rsidP="009224C7">
      <w:pPr>
        <w:pStyle w:val="Caption"/>
        <w:keepNext/>
        <w:jc w:val="center"/>
      </w:pPr>
      <w:r>
        <w:t xml:space="preserve">Table </w:t>
      </w:r>
      <w:fldSimple w:instr=" SEQ Table \* ARABIC ">
        <w:r>
          <w:rPr>
            <w:noProof/>
          </w:rPr>
          <w:t>4</w:t>
        </w:r>
      </w:fldSimple>
      <w:r>
        <w:t>: PC2 evaluation of back-off versus ACLR/SEM requirement</w:t>
      </w:r>
    </w:p>
    <w:p w14:paraId="39493D91" w14:textId="2C77A88B" w:rsidR="009224C7" w:rsidRDefault="009224C7" w:rsidP="009224C7">
      <w:pPr>
        <w:jc w:val="center"/>
        <w:rPr>
          <w:lang w:eastAsia="zh-CN"/>
        </w:rPr>
      </w:pPr>
      <w:r w:rsidRPr="009224C7">
        <w:rPr>
          <w:noProof/>
        </w:rPr>
        <w:drawing>
          <wp:inline distT="0" distB="0" distL="0" distR="0" wp14:anchorId="1D361EF4" wp14:editId="75A4CE94">
            <wp:extent cx="6763741" cy="239604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4634" cy="2396359"/>
                    </a:xfrm>
                    <a:prstGeom prst="rect">
                      <a:avLst/>
                    </a:prstGeom>
                    <a:noFill/>
                    <a:ln>
                      <a:noFill/>
                    </a:ln>
                  </pic:spPr>
                </pic:pic>
              </a:graphicData>
            </a:graphic>
          </wp:inline>
        </w:drawing>
      </w:r>
    </w:p>
    <w:p w14:paraId="2EC0F70E" w14:textId="23068C98" w:rsidR="00573DCF" w:rsidRDefault="00573DCF" w:rsidP="00573DCF">
      <w:pPr>
        <w:spacing w:after="0"/>
        <w:rPr>
          <w:b/>
          <w:lang w:eastAsia="zh-CN"/>
        </w:rPr>
      </w:pPr>
      <w:r w:rsidRPr="00573DCF">
        <w:rPr>
          <w:b/>
          <w:lang w:eastAsia="zh-CN"/>
        </w:rPr>
        <w:t>Observations</w:t>
      </w:r>
      <w:r w:rsidR="00D92E82">
        <w:rPr>
          <w:b/>
          <w:lang w:eastAsia="zh-CN"/>
        </w:rPr>
        <w:t xml:space="preserve"> on delta value</w:t>
      </w:r>
      <w:r w:rsidRPr="00573DCF">
        <w:rPr>
          <w:b/>
          <w:lang w:eastAsia="zh-CN"/>
        </w:rPr>
        <w:t xml:space="preserve">: </w:t>
      </w:r>
    </w:p>
    <w:p w14:paraId="4D4C59FE" w14:textId="77777777" w:rsidR="00D92E82" w:rsidRDefault="00573DCF" w:rsidP="00573DCF">
      <w:pPr>
        <w:pStyle w:val="ListParagraph"/>
        <w:numPr>
          <w:ilvl w:val="0"/>
          <w:numId w:val="22"/>
        </w:numPr>
        <w:rPr>
          <w:b/>
          <w:lang w:eastAsia="zh-CN"/>
        </w:rPr>
      </w:pPr>
      <w:r>
        <w:rPr>
          <w:b/>
          <w:lang w:eastAsia="zh-CN"/>
        </w:rPr>
        <w:lastRenderedPageBreak/>
        <w:t>F</w:t>
      </w:r>
      <w:r w:rsidRPr="00573DCF">
        <w:rPr>
          <w:b/>
          <w:lang w:eastAsia="zh-CN"/>
        </w:rPr>
        <w:t xml:space="preserve">or both PC3 and PC2 </w:t>
      </w:r>
      <w:r>
        <w:rPr>
          <w:b/>
          <w:lang w:eastAsia="zh-CN"/>
        </w:rPr>
        <w:t>cases, around 1dB MPR improvement seems feasible if the relaxed SEM and ACLR</w:t>
      </w:r>
    </w:p>
    <w:p w14:paraId="51641EEA" w14:textId="6115D6B6" w:rsidR="00D92E82" w:rsidRDefault="00D92E82" w:rsidP="00573DCF">
      <w:pPr>
        <w:pStyle w:val="ListParagraph"/>
        <w:numPr>
          <w:ilvl w:val="0"/>
          <w:numId w:val="22"/>
        </w:numPr>
        <w:rPr>
          <w:b/>
          <w:lang w:eastAsia="zh-CN"/>
        </w:rPr>
      </w:pPr>
      <w:r>
        <w:rPr>
          <w:b/>
          <w:lang w:eastAsia="zh-CN"/>
        </w:rPr>
        <w:t>There are case</w:t>
      </w:r>
      <w:r w:rsidR="001E1F51">
        <w:rPr>
          <w:b/>
          <w:lang w:eastAsia="zh-CN"/>
        </w:rPr>
        <w:t>s</w:t>
      </w:r>
      <w:r>
        <w:rPr>
          <w:b/>
          <w:lang w:eastAsia="zh-CN"/>
        </w:rPr>
        <w:t xml:space="preserve"> where the delta value is 0 when the limitation comes from the SEM segments that are the same for 38.101 and 38.921 but in those cases highlighted in orange, </w:t>
      </w:r>
      <w:proofErr w:type="spellStart"/>
      <w:r>
        <w:rPr>
          <w:b/>
          <w:lang w:eastAsia="zh-CN"/>
        </w:rPr>
        <w:t>PCmax</w:t>
      </w:r>
      <w:proofErr w:type="spellEnd"/>
      <w:r>
        <w:rPr>
          <w:b/>
          <w:lang w:eastAsia="zh-CN"/>
        </w:rPr>
        <w:t xml:space="preserve"> can always be reached.</w:t>
      </w:r>
    </w:p>
    <w:p w14:paraId="7A66F597" w14:textId="0ADD11E7" w:rsidR="00573DCF" w:rsidRDefault="00D92E82" w:rsidP="00573DCF">
      <w:pPr>
        <w:pStyle w:val="ListParagraph"/>
        <w:numPr>
          <w:ilvl w:val="0"/>
          <w:numId w:val="22"/>
        </w:numPr>
        <w:rPr>
          <w:b/>
          <w:lang w:eastAsia="zh-CN"/>
        </w:rPr>
      </w:pPr>
      <w:r>
        <w:rPr>
          <w:b/>
          <w:lang w:eastAsia="zh-CN"/>
        </w:rPr>
        <w:t>There are case</w:t>
      </w:r>
      <w:r w:rsidR="005D08AF">
        <w:rPr>
          <w:b/>
          <w:lang w:eastAsia="zh-CN"/>
        </w:rPr>
        <w:t>s</w:t>
      </w:r>
      <w:r>
        <w:rPr>
          <w:b/>
          <w:lang w:eastAsia="zh-CN"/>
        </w:rPr>
        <w:t xml:space="preserve"> where the gain is smaller highlighted in yellow</w:t>
      </w:r>
      <w:r w:rsidR="005D08AF">
        <w:rPr>
          <w:b/>
          <w:lang w:eastAsia="zh-CN"/>
        </w:rPr>
        <w:t>,</w:t>
      </w:r>
      <w:r>
        <w:rPr>
          <w:b/>
          <w:lang w:eastAsia="zh-CN"/>
        </w:rPr>
        <w:t xml:space="preserve"> but this is for PC2 only and for 5MHz BW which is not a foreseen bandwidth in the 6GHz licensed band</w:t>
      </w:r>
    </w:p>
    <w:p w14:paraId="4CCF68E6" w14:textId="77777777" w:rsidR="00A25A1B" w:rsidRDefault="00D92E82" w:rsidP="00573DCF">
      <w:pPr>
        <w:pStyle w:val="ListParagraph"/>
        <w:numPr>
          <w:ilvl w:val="0"/>
          <w:numId w:val="22"/>
        </w:numPr>
        <w:rPr>
          <w:b/>
          <w:lang w:eastAsia="zh-CN"/>
        </w:rPr>
      </w:pPr>
      <w:r>
        <w:rPr>
          <w:b/>
          <w:lang w:eastAsia="zh-CN"/>
        </w:rPr>
        <w:t xml:space="preserve">With relaxed 38.921 requirements, </w:t>
      </w:r>
    </w:p>
    <w:p w14:paraId="66E6E213" w14:textId="5E048104" w:rsidR="00D92E82" w:rsidRDefault="00A25A1B" w:rsidP="00A25A1B">
      <w:pPr>
        <w:pStyle w:val="ListParagraph"/>
        <w:numPr>
          <w:ilvl w:val="1"/>
          <w:numId w:val="22"/>
        </w:numPr>
        <w:rPr>
          <w:b/>
          <w:lang w:eastAsia="zh-CN"/>
        </w:rPr>
      </w:pPr>
      <w:r>
        <w:rPr>
          <w:b/>
          <w:lang w:eastAsia="zh-CN"/>
        </w:rPr>
        <w:t xml:space="preserve">For PC2, </w:t>
      </w:r>
      <w:r w:rsidR="00B92F33">
        <w:rPr>
          <w:b/>
          <w:lang w:eastAsia="zh-CN"/>
        </w:rPr>
        <w:t>e</w:t>
      </w:r>
      <w:r w:rsidR="00D92E82">
        <w:rPr>
          <w:b/>
          <w:lang w:eastAsia="zh-CN"/>
        </w:rPr>
        <w:t>dge allocations show a</w:t>
      </w:r>
      <w:r>
        <w:rPr>
          <w:b/>
          <w:lang w:eastAsia="zh-CN"/>
        </w:rPr>
        <w:t>n</w:t>
      </w:r>
      <w:r w:rsidR="00D92E82">
        <w:rPr>
          <w:b/>
          <w:lang w:eastAsia="zh-CN"/>
        </w:rPr>
        <w:t xml:space="preserve"> </w:t>
      </w:r>
      <w:r>
        <w:rPr>
          <w:b/>
          <w:lang w:eastAsia="zh-CN"/>
        </w:rPr>
        <w:t>additional 3dB margin thus these allocation</w:t>
      </w:r>
      <w:r w:rsidR="005D08AF">
        <w:rPr>
          <w:b/>
          <w:lang w:eastAsia="zh-CN"/>
        </w:rPr>
        <w:t>s</w:t>
      </w:r>
      <w:r>
        <w:rPr>
          <w:b/>
          <w:lang w:eastAsia="zh-CN"/>
        </w:rPr>
        <w:t xml:space="preserve"> may not be needed</w:t>
      </w:r>
      <w:r w:rsidR="001E1F51">
        <w:rPr>
          <w:b/>
          <w:lang w:eastAsia="zh-CN"/>
        </w:rPr>
        <w:t xml:space="preserve"> as this is related to widowing filter and follows a dB/dB improvement</w:t>
      </w:r>
    </w:p>
    <w:p w14:paraId="53555B4C" w14:textId="25DBC7D9" w:rsidR="00A25A1B" w:rsidRDefault="00A25A1B" w:rsidP="00A25A1B">
      <w:pPr>
        <w:pStyle w:val="ListParagraph"/>
        <w:numPr>
          <w:ilvl w:val="1"/>
          <w:numId w:val="22"/>
        </w:numPr>
        <w:rPr>
          <w:b/>
          <w:lang w:eastAsia="zh-CN"/>
        </w:rPr>
      </w:pPr>
      <w:r>
        <w:rPr>
          <w:b/>
          <w:lang w:eastAsia="zh-CN"/>
        </w:rPr>
        <w:t>For DFT-s-OFDM the worst case outer allocations no MPR is needed for PC3 and for PC2 0.5dB MPR is sufficient</w:t>
      </w:r>
    </w:p>
    <w:p w14:paraId="26BA6F14" w14:textId="07338500" w:rsidR="00A25A1B" w:rsidRPr="00A25A1B" w:rsidRDefault="00A25A1B" w:rsidP="00A25A1B">
      <w:pPr>
        <w:pStyle w:val="ListParagraph"/>
        <w:numPr>
          <w:ilvl w:val="1"/>
          <w:numId w:val="22"/>
        </w:numPr>
        <w:rPr>
          <w:b/>
          <w:lang w:eastAsia="zh-CN"/>
        </w:rPr>
      </w:pPr>
      <w:r>
        <w:rPr>
          <w:b/>
          <w:lang w:eastAsia="zh-CN"/>
        </w:rPr>
        <w:t>For CP-OFDM the worst case outer allocations 2dB MPR for PC3 and for PC2 is sufficient</w:t>
      </w:r>
    </w:p>
    <w:p w14:paraId="5E81E37A" w14:textId="6DD655D6" w:rsidR="00A25A1B" w:rsidRPr="00A25A1B" w:rsidRDefault="00A25A1B" w:rsidP="00A25A1B">
      <w:pPr>
        <w:rPr>
          <w:lang w:eastAsia="zh-CN"/>
        </w:rPr>
      </w:pPr>
      <w:r w:rsidRPr="00A25A1B">
        <w:rPr>
          <w:lang w:eastAsia="zh-CN"/>
        </w:rPr>
        <w:t>From the above considerations</w:t>
      </w:r>
      <w:r w:rsidR="005D08AF">
        <w:rPr>
          <w:lang w:eastAsia="zh-CN"/>
        </w:rPr>
        <w:t>,</w:t>
      </w:r>
      <w:r w:rsidRPr="00A25A1B">
        <w:rPr>
          <w:lang w:eastAsia="zh-CN"/>
        </w:rPr>
        <w:t xml:space="preserve"> it seems feasible to adopt </w:t>
      </w:r>
      <w:r>
        <w:rPr>
          <w:lang w:eastAsia="zh-CN"/>
        </w:rPr>
        <w:t>a dedicated MPR for 6GHz</w:t>
      </w:r>
      <w:r w:rsidR="00B92F33">
        <w:rPr>
          <w:lang w:eastAsia="zh-CN"/>
        </w:rPr>
        <w:t xml:space="preserve"> as shown below. Based on our experience similar improvements should also apply to 2Tx PC2 with the small additional MPR needed to account for RIMD. For PC1.5 similar improvements are also anticipated but </w:t>
      </w:r>
      <w:r w:rsidR="001E1F51">
        <w:rPr>
          <w:lang w:eastAsia="zh-CN"/>
        </w:rPr>
        <w:t>edge</w:t>
      </w:r>
      <w:r w:rsidR="00B92F33">
        <w:rPr>
          <w:lang w:eastAsia="zh-CN"/>
        </w:rPr>
        <w:t xml:space="preserve"> allocations even if improved will probably still be needed. </w:t>
      </w:r>
    </w:p>
    <w:p w14:paraId="7B0BF723" w14:textId="2704DC5F" w:rsidR="00A25A1B" w:rsidRDefault="00A25A1B" w:rsidP="00A25A1B">
      <w:pPr>
        <w:pStyle w:val="Caption"/>
        <w:keepNext/>
        <w:jc w:val="center"/>
      </w:pPr>
      <w:r>
        <w:t xml:space="preserve">Table </w:t>
      </w:r>
      <w:r w:rsidR="00557199">
        <w:fldChar w:fldCharType="begin"/>
      </w:r>
      <w:r w:rsidR="00557199">
        <w:instrText xml:space="preserve"> SEQ Table \* ARABIC </w:instrText>
      </w:r>
      <w:r w:rsidR="00557199">
        <w:fldChar w:fldCharType="separate"/>
      </w:r>
      <w:r>
        <w:rPr>
          <w:noProof/>
        </w:rPr>
        <w:t>5</w:t>
      </w:r>
      <w:r w:rsidR="00557199">
        <w:rPr>
          <w:noProof/>
        </w:rPr>
        <w:fldChar w:fldCharType="end"/>
      </w:r>
      <w:r>
        <w:t xml:space="preserve">: PC3 and PC2 MPR for 6GHz licensed band </w:t>
      </w:r>
      <w:r w:rsidR="00B92F33">
        <w:t>based on</w:t>
      </w:r>
      <w:r>
        <w:t xml:space="preserve"> requirements from 38.921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6"/>
        <w:gridCol w:w="831"/>
        <w:gridCol w:w="2145"/>
        <w:gridCol w:w="2057"/>
      </w:tblGrid>
      <w:tr w:rsidR="00B92F33" w:rsidRPr="00A1115A" w14:paraId="18F09060" w14:textId="77777777" w:rsidTr="00B92F3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514E756" w14:textId="77777777" w:rsidR="00B92F33" w:rsidRPr="00A1115A" w:rsidRDefault="00B92F33" w:rsidP="006474E8">
            <w:pPr>
              <w:pStyle w:val="TAH"/>
            </w:pPr>
            <w:r w:rsidRPr="00A1115A">
              <w:t>Modulation</w:t>
            </w:r>
          </w:p>
        </w:tc>
        <w:tc>
          <w:tcPr>
            <w:tcW w:w="4202" w:type="dxa"/>
            <w:gridSpan w:val="2"/>
            <w:tcBorders>
              <w:top w:val="single" w:sz="4" w:space="0" w:color="auto"/>
              <w:left w:val="single" w:sz="4" w:space="0" w:color="auto"/>
              <w:bottom w:val="single" w:sz="4" w:space="0" w:color="auto"/>
              <w:right w:val="single" w:sz="4" w:space="0" w:color="auto"/>
            </w:tcBorders>
          </w:tcPr>
          <w:p w14:paraId="5DFB9E30" w14:textId="3A3A449C" w:rsidR="00B92F33" w:rsidRPr="00A1115A" w:rsidRDefault="00B92F33" w:rsidP="006474E8">
            <w:pPr>
              <w:pStyle w:val="TAH"/>
            </w:pPr>
            <w:r w:rsidRPr="00A1115A">
              <w:t xml:space="preserve">MPR </w:t>
            </w:r>
            <w:r>
              <w:t xml:space="preserve">for </w:t>
            </w:r>
            <w:r w:rsidRPr="0005759D">
              <w:rPr>
                <w:b w:val="0"/>
              </w:rPr>
              <w:t>PC3</w:t>
            </w:r>
            <w:r>
              <w:t>/PC2</w:t>
            </w:r>
            <w:r w:rsidRPr="00A1115A">
              <w:t>(dB)</w:t>
            </w:r>
            <w:r>
              <w:t xml:space="preserve"> / RB allocation</w:t>
            </w:r>
          </w:p>
        </w:tc>
      </w:tr>
      <w:tr w:rsidR="00B92F33" w:rsidRPr="00A1115A" w14:paraId="6A2D6DE8" w14:textId="77777777" w:rsidTr="00B92F33">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FDF6CCB" w14:textId="77777777" w:rsidR="00B92F33" w:rsidRPr="00A1115A" w:rsidRDefault="00B92F33" w:rsidP="006474E8">
            <w:pPr>
              <w:pStyle w:val="TAH"/>
              <w:rPr>
                <w:rFonts w:cs="Arial"/>
              </w:rPr>
            </w:pPr>
          </w:p>
        </w:tc>
        <w:tc>
          <w:tcPr>
            <w:tcW w:w="2145" w:type="dxa"/>
            <w:tcBorders>
              <w:top w:val="single" w:sz="4" w:space="0" w:color="auto"/>
              <w:left w:val="single" w:sz="4" w:space="0" w:color="auto"/>
              <w:bottom w:val="single" w:sz="4" w:space="0" w:color="auto"/>
              <w:right w:val="single" w:sz="4" w:space="0" w:color="auto"/>
            </w:tcBorders>
            <w:hideMark/>
          </w:tcPr>
          <w:p w14:paraId="3599EE23" w14:textId="77777777" w:rsidR="00B92F33" w:rsidRPr="00A1115A" w:rsidRDefault="00B92F33" w:rsidP="006474E8">
            <w:pPr>
              <w:pStyle w:val="TAH"/>
            </w:pPr>
            <w:r>
              <w:t>Outer</w:t>
            </w:r>
          </w:p>
        </w:tc>
        <w:tc>
          <w:tcPr>
            <w:tcW w:w="2057" w:type="dxa"/>
            <w:tcBorders>
              <w:top w:val="single" w:sz="4" w:space="0" w:color="auto"/>
              <w:left w:val="single" w:sz="4" w:space="0" w:color="auto"/>
              <w:bottom w:val="single" w:sz="4" w:space="0" w:color="auto"/>
              <w:right w:val="single" w:sz="4" w:space="0" w:color="auto"/>
            </w:tcBorders>
            <w:hideMark/>
          </w:tcPr>
          <w:p w14:paraId="6D517CCB" w14:textId="77777777" w:rsidR="00B92F33" w:rsidRPr="00A1115A" w:rsidRDefault="00B92F33" w:rsidP="006474E8">
            <w:pPr>
              <w:pStyle w:val="TAH"/>
            </w:pPr>
            <w:r>
              <w:t>Inner</w:t>
            </w:r>
          </w:p>
        </w:tc>
      </w:tr>
      <w:tr w:rsidR="00B92F33" w:rsidRPr="00A1115A" w14:paraId="4C81DD2F" w14:textId="77777777" w:rsidTr="00B92F33">
        <w:trPr>
          <w:jc w:val="center"/>
        </w:trPr>
        <w:tc>
          <w:tcPr>
            <w:tcW w:w="1476" w:type="dxa"/>
            <w:tcBorders>
              <w:top w:val="nil"/>
              <w:left w:val="single" w:sz="4" w:space="0" w:color="auto"/>
              <w:bottom w:val="nil"/>
              <w:right w:val="single" w:sz="4" w:space="0" w:color="auto"/>
            </w:tcBorders>
            <w:shd w:val="clear" w:color="auto" w:fill="auto"/>
            <w:hideMark/>
          </w:tcPr>
          <w:p w14:paraId="6BDE485A" w14:textId="77777777" w:rsidR="00B92F33" w:rsidRPr="00A1115A" w:rsidRDefault="00B92F33" w:rsidP="006474E8">
            <w:pPr>
              <w:pStyle w:val="TAC"/>
            </w:pPr>
            <w:r w:rsidRPr="00A1115A">
              <w:t>DFT-s-OFDM</w:t>
            </w:r>
          </w:p>
        </w:tc>
        <w:tc>
          <w:tcPr>
            <w:tcW w:w="831" w:type="dxa"/>
            <w:tcBorders>
              <w:top w:val="single" w:sz="4" w:space="0" w:color="auto"/>
              <w:left w:val="single" w:sz="4" w:space="0" w:color="auto"/>
              <w:bottom w:val="single" w:sz="4" w:space="0" w:color="auto"/>
              <w:right w:val="single" w:sz="4" w:space="0" w:color="auto"/>
            </w:tcBorders>
          </w:tcPr>
          <w:p w14:paraId="498A9430" w14:textId="77777777" w:rsidR="00B92F33" w:rsidRPr="00A1115A" w:rsidRDefault="00B92F33" w:rsidP="006474E8">
            <w:pPr>
              <w:pStyle w:val="TAC"/>
              <w:rPr>
                <w:rFonts w:cs="Arial"/>
              </w:rPr>
            </w:pPr>
            <w:r w:rsidRPr="00A1115A">
              <w:rPr>
                <w:rFonts w:cs="Arial"/>
              </w:rPr>
              <w:t>QPSK</w:t>
            </w:r>
          </w:p>
        </w:tc>
        <w:tc>
          <w:tcPr>
            <w:tcW w:w="2145" w:type="dxa"/>
            <w:tcBorders>
              <w:top w:val="single" w:sz="4" w:space="0" w:color="auto"/>
              <w:left w:val="single" w:sz="4" w:space="0" w:color="auto"/>
              <w:bottom w:val="single" w:sz="4" w:space="0" w:color="auto"/>
              <w:right w:val="single" w:sz="4" w:space="0" w:color="auto"/>
            </w:tcBorders>
            <w:hideMark/>
          </w:tcPr>
          <w:p w14:paraId="65B195D7" w14:textId="11CCC8DE" w:rsidR="00B92F33" w:rsidRPr="00B92F33" w:rsidRDefault="00B92F33" w:rsidP="00B92F33">
            <w:pPr>
              <w:pStyle w:val="TAC"/>
              <w:rPr>
                <w:rFonts w:cs="Arial"/>
              </w:rPr>
            </w:pPr>
            <w:r w:rsidRPr="00B92F33">
              <w:rPr>
                <w:rFonts w:cs="Arial"/>
              </w:rPr>
              <w:t xml:space="preserve">≤ </w:t>
            </w:r>
            <w:r w:rsidRPr="00B92F33">
              <w:rPr>
                <w:rFonts w:cs="Arial"/>
                <w:lang w:val="en-CA"/>
              </w:rPr>
              <w:t>0/</w:t>
            </w:r>
            <w:r>
              <w:rPr>
                <w:rFonts w:cs="Arial"/>
                <w:b/>
                <w:lang w:val="en-CA"/>
              </w:rPr>
              <w:t>0.5</w:t>
            </w:r>
          </w:p>
        </w:tc>
        <w:tc>
          <w:tcPr>
            <w:tcW w:w="2057" w:type="dxa"/>
            <w:tcBorders>
              <w:top w:val="single" w:sz="4" w:space="0" w:color="auto"/>
              <w:left w:val="single" w:sz="4" w:space="0" w:color="auto"/>
              <w:bottom w:val="single" w:sz="4" w:space="0" w:color="auto"/>
              <w:right w:val="single" w:sz="4" w:space="0" w:color="auto"/>
            </w:tcBorders>
            <w:hideMark/>
          </w:tcPr>
          <w:p w14:paraId="68CE46E0" w14:textId="77777777" w:rsidR="00B92F33" w:rsidRPr="00B92F33" w:rsidRDefault="00B92F33" w:rsidP="006474E8">
            <w:pPr>
              <w:pStyle w:val="TAC"/>
              <w:rPr>
                <w:rFonts w:cs="Arial"/>
              </w:rPr>
            </w:pPr>
            <w:r w:rsidRPr="00B92F33">
              <w:rPr>
                <w:rFonts w:cs="Arial"/>
                <w:lang w:val="en-CA"/>
              </w:rPr>
              <w:t>0/</w:t>
            </w:r>
            <w:r w:rsidRPr="00093401">
              <w:rPr>
                <w:rFonts w:cs="Arial"/>
                <w:b/>
                <w:lang w:val="en-CA"/>
              </w:rPr>
              <w:t>0</w:t>
            </w:r>
          </w:p>
        </w:tc>
      </w:tr>
      <w:tr w:rsidR="00B92F33" w:rsidRPr="00A1115A" w14:paraId="4DDCB6CD" w14:textId="77777777" w:rsidTr="00B92F33">
        <w:trPr>
          <w:jc w:val="center"/>
        </w:trPr>
        <w:tc>
          <w:tcPr>
            <w:tcW w:w="1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F3DCD" w14:textId="77777777" w:rsidR="00B92F33" w:rsidRPr="00A1115A" w:rsidRDefault="00B92F33" w:rsidP="006474E8">
            <w:pPr>
              <w:pStyle w:val="TAC"/>
              <w:rPr>
                <w:rFonts w:cs="Arial"/>
                <w:lang w:eastAsia="zh-CN"/>
              </w:rPr>
            </w:pPr>
            <w:r w:rsidRPr="00A1115A">
              <w:rPr>
                <w:rFonts w:cs="Arial"/>
              </w:rPr>
              <w:t>CP-OFDM</w:t>
            </w:r>
          </w:p>
        </w:tc>
        <w:tc>
          <w:tcPr>
            <w:tcW w:w="831" w:type="dxa"/>
            <w:tcBorders>
              <w:top w:val="single" w:sz="4" w:space="0" w:color="auto"/>
              <w:left w:val="single" w:sz="4" w:space="0" w:color="auto"/>
              <w:bottom w:val="single" w:sz="4" w:space="0" w:color="auto"/>
              <w:right w:val="single" w:sz="4" w:space="0" w:color="auto"/>
            </w:tcBorders>
          </w:tcPr>
          <w:p w14:paraId="3CC2A043" w14:textId="77777777" w:rsidR="00B92F33" w:rsidRPr="00A1115A" w:rsidRDefault="00B92F33" w:rsidP="006474E8">
            <w:pPr>
              <w:pStyle w:val="TAC"/>
              <w:rPr>
                <w:rFonts w:cs="Arial"/>
                <w:lang w:eastAsia="zh-CN"/>
              </w:rPr>
            </w:pPr>
            <w:r w:rsidRPr="00A1115A">
              <w:rPr>
                <w:rFonts w:cs="Arial"/>
              </w:rPr>
              <w:t>QPSK</w:t>
            </w:r>
          </w:p>
        </w:tc>
        <w:tc>
          <w:tcPr>
            <w:tcW w:w="2145" w:type="dxa"/>
            <w:tcBorders>
              <w:top w:val="single" w:sz="4" w:space="0" w:color="auto"/>
              <w:left w:val="single" w:sz="4" w:space="0" w:color="auto"/>
              <w:bottom w:val="single" w:sz="4" w:space="0" w:color="auto"/>
              <w:right w:val="single" w:sz="4" w:space="0" w:color="auto"/>
            </w:tcBorders>
            <w:hideMark/>
          </w:tcPr>
          <w:p w14:paraId="1E685C29" w14:textId="35EE1CD8" w:rsidR="00B92F33" w:rsidRPr="00B92F33" w:rsidRDefault="00B92F33" w:rsidP="00B92F33">
            <w:pPr>
              <w:pStyle w:val="TAC"/>
              <w:rPr>
                <w:rFonts w:cs="Arial"/>
              </w:rPr>
            </w:pPr>
            <w:r w:rsidRPr="00B92F33">
              <w:rPr>
                <w:rFonts w:cs="Arial"/>
              </w:rPr>
              <w:t xml:space="preserve">≤ </w:t>
            </w:r>
            <w:r>
              <w:rPr>
                <w:rFonts w:cs="Arial"/>
              </w:rPr>
              <w:t>2</w:t>
            </w:r>
            <w:r w:rsidRPr="00B92F33">
              <w:rPr>
                <w:rFonts w:cs="Arial"/>
              </w:rPr>
              <w:t>/</w:t>
            </w:r>
            <w:r>
              <w:rPr>
                <w:rFonts w:cs="Arial"/>
                <w:b/>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24A44AF7" w14:textId="77777777" w:rsidR="00B92F33" w:rsidRPr="00B92F33" w:rsidRDefault="00B92F33" w:rsidP="006474E8">
            <w:pPr>
              <w:pStyle w:val="TAC"/>
              <w:rPr>
                <w:rFonts w:cs="Arial"/>
              </w:rPr>
            </w:pPr>
            <w:r w:rsidRPr="00B92F33">
              <w:rPr>
                <w:rFonts w:cs="Arial"/>
              </w:rPr>
              <w:t>≤</w:t>
            </w:r>
            <w:r w:rsidRPr="00B92F33">
              <w:rPr>
                <w:rFonts w:cs="Arial"/>
                <w:lang w:val="en-CA"/>
              </w:rPr>
              <w:t xml:space="preserve"> 1.5/</w:t>
            </w:r>
            <w:r w:rsidRPr="00093401">
              <w:rPr>
                <w:rFonts w:cs="Arial"/>
                <w:b/>
                <w:lang w:val="en-CA"/>
              </w:rPr>
              <w:t>1.5</w:t>
            </w:r>
          </w:p>
        </w:tc>
      </w:tr>
    </w:tbl>
    <w:p w14:paraId="0AD482DF" w14:textId="77777777" w:rsidR="00D92E82" w:rsidRDefault="00D92E82" w:rsidP="00B92F33">
      <w:pPr>
        <w:spacing w:after="0"/>
        <w:rPr>
          <w:b/>
          <w:lang w:eastAsia="zh-CN"/>
        </w:rPr>
      </w:pPr>
    </w:p>
    <w:p w14:paraId="0086F28C" w14:textId="0BB092AC" w:rsidR="00B92F33" w:rsidRDefault="00B92F33" w:rsidP="00D92E82">
      <w:pPr>
        <w:rPr>
          <w:lang w:eastAsia="zh-CN"/>
        </w:rPr>
      </w:pPr>
      <w:r w:rsidRPr="00B92F33">
        <w:rPr>
          <w:lang w:eastAsia="zh-CN"/>
        </w:rPr>
        <w:t>Unless we take time to study and agree on associated MPR improvements</w:t>
      </w:r>
      <w:r w:rsidR="005D08AF">
        <w:rPr>
          <w:lang w:eastAsia="zh-CN"/>
        </w:rPr>
        <w:t>,</w:t>
      </w:r>
      <w:r>
        <w:rPr>
          <w:lang w:eastAsia="zh-CN"/>
        </w:rPr>
        <w:t xml:space="preserve"> we do not see any benefit in adopting relaxed emission requirements. Thus we propose the following alternatives:</w:t>
      </w:r>
    </w:p>
    <w:p w14:paraId="1646BA08" w14:textId="77777777" w:rsidR="00A562EF" w:rsidRDefault="00A562EF" w:rsidP="00A562EF">
      <w:pPr>
        <w:spacing w:after="0"/>
        <w:rPr>
          <w:b/>
          <w:lang w:eastAsia="zh-CN"/>
        </w:rPr>
      </w:pPr>
      <w:r w:rsidRPr="00A562EF">
        <w:rPr>
          <w:b/>
          <w:lang w:eastAsia="zh-CN"/>
        </w:rPr>
        <w:t xml:space="preserve">Proposal: </w:t>
      </w:r>
    </w:p>
    <w:p w14:paraId="2C753480" w14:textId="77777777" w:rsidR="00A562EF" w:rsidRDefault="00B92F33" w:rsidP="00A562EF">
      <w:pPr>
        <w:pStyle w:val="ListParagraph"/>
        <w:numPr>
          <w:ilvl w:val="0"/>
          <w:numId w:val="26"/>
        </w:numPr>
        <w:rPr>
          <w:b/>
          <w:lang w:eastAsia="zh-CN"/>
        </w:rPr>
      </w:pPr>
      <w:r w:rsidRPr="00A562EF">
        <w:rPr>
          <w:b/>
          <w:lang w:eastAsia="zh-CN"/>
        </w:rPr>
        <w:t>If MPR is not re</w:t>
      </w:r>
      <w:r w:rsidR="00A562EF" w:rsidRPr="00A562EF">
        <w:rPr>
          <w:b/>
          <w:lang w:eastAsia="zh-CN"/>
        </w:rPr>
        <w:t>-</w:t>
      </w:r>
      <w:r w:rsidRPr="00A562EF">
        <w:rPr>
          <w:b/>
          <w:lang w:eastAsia="zh-CN"/>
        </w:rPr>
        <w:t>eval</w:t>
      </w:r>
      <w:r w:rsidR="00A562EF" w:rsidRPr="00A562EF">
        <w:rPr>
          <w:b/>
          <w:lang w:eastAsia="zh-CN"/>
        </w:rPr>
        <w:t xml:space="preserve">uated, NR ACLR and SEM from 38.101 should be reused for 6GHz licensed band. </w:t>
      </w:r>
    </w:p>
    <w:p w14:paraId="3A9C9FBD" w14:textId="1195F710" w:rsidR="00B92F33" w:rsidRDefault="00A562EF" w:rsidP="00A562EF">
      <w:pPr>
        <w:pStyle w:val="ListParagraph"/>
        <w:numPr>
          <w:ilvl w:val="0"/>
          <w:numId w:val="26"/>
        </w:numPr>
        <w:rPr>
          <w:b/>
          <w:lang w:eastAsia="zh-CN"/>
        </w:rPr>
      </w:pPr>
      <w:r w:rsidRPr="00A562EF">
        <w:rPr>
          <w:b/>
          <w:lang w:eastAsia="zh-CN"/>
        </w:rPr>
        <w:t xml:space="preserve">If relaxed ACLR and SEM </w:t>
      </w:r>
      <w:r>
        <w:rPr>
          <w:b/>
          <w:lang w:eastAsia="zh-CN"/>
        </w:rPr>
        <w:t xml:space="preserve">from 38.921 is adopted </w:t>
      </w:r>
      <w:r w:rsidRPr="00A562EF">
        <w:rPr>
          <w:b/>
          <w:lang w:eastAsia="zh-CN"/>
        </w:rPr>
        <w:t xml:space="preserve">for 6GHz </w:t>
      </w:r>
      <w:r>
        <w:rPr>
          <w:b/>
          <w:lang w:eastAsia="zh-CN"/>
        </w:rPr>
        <w:t>licensed band, PC3 MPR is re-evaluated and PC2 ACLR target confirmed for MPR re-evaluation</w:t>
      </w:r>
    </w:p>
    <w:p w14:paraId="4133E73F" w14:textId="26280664" w:rsidR="00A562EF" w:rsidRPr="00A562EF" w:rsidRDefault="00A562EF" w:rsidP="001E1F51">
      <w:pPr>
        <w:pStyle w:val="ListParagraph"/>
        <w:numPr>
          <w:ilvl w:val="1"/>
          <w:numId w:val="26"/>
        </w:numPr>
        <w:rPr>
          <w:b/>
          <w:lang w:eastAsia="zh-CN"/>
        </w:rPr>
      </w:pPr>
      <w:r>
        <w:rPr>
          <w:b/>
          <w:lang w:eastAsia="zh-CN"/>
        </w:rPr>
        <w:t xml:space="preserve">Our preference is to re-evaluate MPR </w:t>
      </w:r>
      <w:r w:rsidR="001E1F51">
        <w:rPr>
          <w:b/>
          <w:lang w:eastAsia="zh-CN"/>
        </w:rPr>
        <w:t xml:space="preserve">based on 38.921 ACLR and SEM </w:t>
      </w:r>
      <w:r>
        <w:rPr>
          <w:b/>
          <w:lang w:eastAsia="zh-CN"/>
        </w:rPr>
        <w:t>to enable better UL performance at frequencies &gt;6.425MHz which is a challenge.</w:t>
      </w:r>
    </w:p>
    <w:p w14:paraId="7BE54F94" w14:textId="77777777" w:rsidR="00305289" w:rsidRDefault="00305289" w:rsidP="00305289">
      <w:pPr>
        <w:pStyle w:val="Heading1"/>
      </w:pPr>
      <w:r>
        <w:t>Conclusions</w:t>
      </w:r>
    </w:p>
    <w:p w14:paraId="3C251E6A" w14:textId="7B44B583" w:rsidR="006E4FCE" w:rsidRDefault="00305289" w:rsidP="00FE650D">
      <w:pPr>
        <w:spacing w:after="0"/>
        <w:jc w:val="both"/>
      </w:pPr>
      <w:r>
        <w:t xml:space="preserve">In this contribution, </w:t>
      </w:r>
      <w:r w:rsidR="009B4F03">
        <w:t xml:space="preserve">we </w:t>
      </w:r>
      <w:r w:rsidR="00233402">
        <w:t>discuss</w:t>
      </w:r>
      <w:r w:rsidR="00A562EF">
        <w:t xml:space="preserve"> </w:t>
      </w:r>
      <w:r w:rsidR="005D08AF">
        <w:t>whether</w:t>
      </w:r>
      <w:r w:rsidR="00A562EF">
        <w:t xml:space="preserve"> </w:t>
      </w:r>
      <w:r w:rsidR="002A3E7C">
        <w:t xml:space="preserve">6GHz licensed band </w:t>
      </w:r>
      <w:r w:rsidR="00A562EF">
        <w:t>ACLR and SEM requirements should be derived from 38.101 or 38.921 and evaluate the potential MPR improvement with the latter</w:t>
      </w:r>
      <w:r w:rsidR="002A3E7C">
        <w:t>.</w:t>
      </w:r>
      <w:r w:rsidR="00A562EF">
        <w:t xml:space="preserve"> This short study based on previous measurements </w:t>
      </w:r>
      <w:r w:rsidR="001E1F51">
        <w:t>allows</w:t>
      </w:r>
      <w:r w:rsidR="00A562EF">
        <w:t xml:space="preserve"> us to formulate the following proposal.</w:t>
      </w:r>
    </w:p>
    <w:p w14:paraId="3092A32B" w14:textId="77777777" w:rsidR="00610CD6" w:rsidRDefault="00610CD6" w:rsidP="00FE650D">
      <w:pPr>
        <w:spacing w:after="0"/>
        <w:jc w:val="both"/>
      </w:pPr>
    </w:p>
    <w:p w14:paraId="691CC20B" w14:textId="77777777" w:rsidR="00093401" w:rsidRDefault="00093401" w:rsidP="00093401">
      <w:pPr>
        <w:spacing w:after="0"/>
        <w:rPr>
          <w:b/>
          <w:lang w:eastAsia="zh-CN"/>
        </w:rPr>
      </w:pPr>
      <w:r w:rsidRPr="00A562EF">
        <w:rPr>
          <w:b/>
          <w:lang w:eastAsia="zh-CN"/>
        </w:rPr>
        <w:t xml:space="preserve">Proposal: </w:t>
      </w:r>
    </w:p>
    <w:p w14:paraId="0F4D005B" w14:textId="77777777" w:rsidR="00093401" w:rsidRDefault="00093401" w:rsidP="00093401">
      <w:pPr>
        <w:pStyle w:val="ListParagraph"/>
        <w:numPr>
          <w:ilvl w:val="0"/>
          <w:numId w:val="26"/>
        </w:numPr>
        <w:rPr>
          <w:b/>
          <w:lang w:eastAsia="zh-CN"/>
        </w:rPr>
      </w:pPr>
      <w:r w:rsidRPr="00A562EF">
        <w:rPr>
          <w:b/>
          <w:lang w:eastAsia="zh-CN"/>
        </w:rPr>
        <w:t xml:space="preserve">If MPR is not re-evaluated, NR ACLR and SEM from 38.101 should be reused for 6GHz licensed band. </w:t>
      </w:r>
    </w:p>
    <w:p w14:paraId="18136D2A" w14:textId="77777777" w:rsidR="00093401" w:rsidRDefault="00093401" w:rsidP="00093401">
      <w:pPr>
        <w:pStyle w:val="ListParagraph"/>
        <w:numPr>
          <w:ilvl w:val="0"/>
          <w:numId w:val="26"/>
        </w:numPr>
        <w:rPr>
          <w:b/>
          <w:lang w:eastAsia="zh-CN"/>
        </w:rPr>
      </w:pPr>
      <w:r w:rsidRPr="00A562EF">
        <w:rPr>
          <w:b/>
          <w:lang w:eastAsia="zh-CN"/>
        </w:rPr>
        <w:t xml:space="preserve">If relaxed ACLR and SEM </w:t>
      </w:r>
      <w:r>
        <w:rPr>
          <w:b/>
          <w:lang w:eastAsia="zh-CN"/>
        </w:rPr>
        <w:t xml:space="preserve">from 38.921 is adopted </w:t>
      </w:r>
      <w:r w:rsidRPr="00A562EF">
        <w:rPr>
          <w:b/>
          <w:lang w:eastAsia="zh-CN"/>
        </w:rPr>
        <w:t xml:space="preserve">for 6GHz </w:t>
      </w:r>
      <w:r>
        <w:rPr>
          <w:b/>
          <w:lang w:eastAsia="zh-CN"/>
        </w:rPr>
        <w:t>licensed band, PC3 MPR is re-evaluated and PC2 ACLR target confirmed for MPR re-evaluation</w:t>
      </w:r>
    </w:p>
    <w:p w14:paraId="3C4FB063" w14:textId="77777777" w:rsidR="00093401" w:rsidRPr="00A562EF" w:rsidRDefault="00093401" w:rsidP="00093401">
      <w:pPr>
        <w:pStyle w:val="ListParagraph"/>
        <w:numPr>
          <w:ilvl w:val="1"/>
          <w:numId w:val="26"/>
        </w:numPr>
        <w:rPr>
          <w:b/>
          <w:lang w:eastAsia="zh-CN"/>
        </w:rPr>
      </w:pPr>
      <w:r>
        <w:rPr>
          <w:b/>
          <w:lang w:eastAsia="zh-CN"/>
        </w:rPr>
        <w:t>Our preference is to re-evaluate MPR based on 38.921 ACLR and SEM to enable better UL performance at frequencies &gt;6.425MHz which is a challenge.</w:t>
      </w:r>
    </w:p>
    <w:p w14:paraId="03D6921F" w14:textId="77777777" w:rsidR="00F10F97" w:rsidRDefault="007321E3" w:rsidP="00C8525F">
      <w:pPr>
        <w:pStyle w:val="Heading1"/>
        <w:numPr>
          <w:ilvl w:val="0"/>
          <w:numId w:val="0"/>
        </w:numPr>
        <w:jc w:val="both"/>
      </w:pPr>
      <w:r>
        <w:t>R</w:t>
      </w:r>
      <w:r w:rsidR="00F10F97">
        <w:t>eferences</w:t>
      </w:r>
    </w:p>
    <w:p w14:paraId="5A60208D" w14:textId="77777777" w:rsidR="004463F3" w:rsidRPr="00292F35" w:rsidRDefault="004463F3" w:rsidP="004463F3">
      <w:pPr>
        <w:pStyle w:val="ListParagraph"/>
        <w:widowControl w:val="0"/>
        <w:numPr>
          <w:ilvl w:val="0"/>
          <w:numId w:val="11"/>
        </w:numPr>
        <w:snapToGrid w:val="0"/>
      </w:pPr>
      <w:r w:rsidRPr="00AC4489">
        <w:t>RP-213605</w:t>
      </w:r>
      <w:r>
        <w:t xml:space="preserve">, </w:t>
      </w:r>
      <w:r w:rsidRPr="003C737C">
        <w:rPr>
          <w:lang w:val="en-GB" w:eastAsia="zh-CN"/>
        </w:rPr>
        <w:t>RCC Recommendation 1/21, “Harmonization of the technical conditions for 5G-NR / IMT-2020 systems in the RCC countries in the frequency band 6 425-7 125 MHz or in its portions” RCC Commission for the Regulation of the Usage of the Radio Frequency Spectrum and Satellite Orbits</w:t>
      </w:r>
      <w:r>
        <w:rPr>
          <w:lang w:val="en-GB" w:eastAsia="zh-CN"/>
        </w:rPr>
        <w:t xml:space="preserve">, </w:t>
      </w:r>
      <w:r w:rsidRPr="003C737C">
        <w:rPr>
          <w:lang w:val="en-GB" w:eastAsia="zh-CN"/>
        </w:rPr>
        <w:t>Document: Commission Decision 20/5 Annex 1, December 2021</w:t>
      </w:r>
    </w:p>
    <w:p w14:paraId="358B2654" w14:textId="6389539A" w:rsidR="00292F35" w:rsidRDefault="00292F35" w:rsidP="00292F35">
      <w:pPr>
        <w:pStyle w:val="ListParagraph"/>
        <w:widowControl w:val="0"/>
        <w:numPr>
          <w:ilvl w:val="0"/>
          <w:numId w:val="11"/>
        </w:numPr>
        <w:snapToGrid w:val="0"/>
      </w:pPr>
      <w:r w:rsidRPr="00292F35">
        <w:t>R4-2202267</w:t>
      </w:r>
      <w:r>
        <w:t xml:space="preserve"> </w:t>
      </w:r>
      <w:r w:rsidRPr="00292F35">
        <w:t>WF on UE RF requirements for 6GHz licensed band</w:t>
      </w:r>
      <w:r>
        <w:t>, Ericsson, R4#101b-e</w:t>
      </w:r>
    </w:p>
    <w:p w14:paraId="621B9CA8" w14:textId="35BC8962" w:rsidR="00292F35" w:rsidRPr="004463F3" w:rsidRDefault="00292F35" w:rsidP="00292F35">
      <w:pPr>
        <w:pStyle w:val="ListParagraph"/>
        <w:widowControl w:val="0"/>
        <w:numPr>
          <w:ilvl w:val="0"/>
          <w:numId w:val="11"/>
        </w:numPr>
        <w:snapToGrid w:val="0"/>
      </w:pPr>
      <w:r w:rsidRPr="00292F35">
        <w:t>3GPP TR 38.921 V17.0.0 (2021-03)</w:t>
      </w:r>
      <w:r>
        <w:t xml:space="preserve">, </w:t>
      </w:r>
      <w:r w:rsidRPr="00292F35">
        <w:t>Study on International Mobile Telecommunications (IMT) parameters for 6.425-7.025GHz, 7.025-7.125GHz and 10.0-10.5 GHz</w:t>
      </w:r>
      <w:r>
        <w:t>.</w:t>
      </w:r>
    </w:p>
    <w:sectPr w:rsidR="00292F35" w:rsidRPr="004463F3"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1B836" w14:textId="77777777" w:rsidR="00557199" w:rsidRDefault="00557199">
      <w:r>
        <w:separator/>
      </w:r>
    </w:p>
  </w:endnote>
  <w:endnote w:type="continuationSeparator" w:id="0">
    <w:p w14:paraId="4C97C0A8" w14:textId="77777777" w:rsidR="00557199" w:rsidRDefault="0055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1DF56" w14:textId="77777777" w:rsidR="00557199" w:rsidRDefault="00557199">
      <w:r>
        <w:separator/>
      </w:r>
    </w:p>
  </w:footnote>
  <w:footnote w:type="continuationSeparator" w:id="0">
    <w:p w14:paraId="2E55D33D" w14:textId="77777777" w:rsidR="00557199" w:rsidRDefault="005571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2C0"/>
    <w:multiLevelType w:val="hybridMultilevel"/>
    <w:tmpl w:val="E6D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1B9B"/>
    <w:multiLevelType w:val="hybridMultilevel"/>
    <w:tmpl w:val="745A1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C78531F"/>
    <w:multiLevelType w:val="hybridMultilevel"/>
    <w:tmpl w:val="46989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7F48F4"/>
    <w:multiLevelType w:val="hybridMultilevel"/>
    <w:tmpl w:val="077C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2A36D79"/>
    <w:multiLevelType w:val="hybridMultilevel"/>
    <w:tmpl w:val="FE84C0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8F3974"/>
    <w:multiLevelType w:val="hybridMultilevel"/>
    <w:tmpl w:val="99FE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BB4370"/>
    <w:multiLevelType w:val="hybridMultilevel"/>
    <w:tmpl w:val="DD0E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056668"/>
    <w:multiLevelType w:val="hybridMultilevel"/>
    <w:tmpl w:val="F7D43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E304088"/>
    <w:multiLevelType w:val="hybridMultilevel"/>
    <w:tmpl w:val="BB961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6F0919"/>
    <w:multiLevelType w:val="hybridMultilevel"/>
    <w:tmpl w:val="723A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4EE7CFE"/>
    <w:multiLevelType w:val="hybridMultilevel"/>
    <w:tmpl w:val="DD8ABC58"/>
    <w:lvl w:ilvl="0" w:tplc="E4CAB554">
      <w:start w:val="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7429A7"/>
    <w:multiLevelType w:val="hybridMultilevel"/>
    <w:tmpl w:val="6DAE1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610712"/>
    <w:multiLevelType w:val="hybridMultilevel"/>
    <w:tmpl w:val="E50CA7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B75C5F"/>
    <w:multiLevelType w:val="hybridMultilevel"/>
    <w:tmpl w:val="E0A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247C8E"/>
    <w:multiLevelType w:val="hybridMultilevel"/>
    <w:tmpl w:val="5DD05E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3"/>
  </w:num>
  <w:num w:numId="3">
    <w:abstractNumId w:val="14"/>
  </w:num>
  <w:num w:numId="4">
    <w:abstractNumId w:val="24"/>
  </w:num>
  <w:num w:numId="5">
    <w:abstractNumId w:val="12"/>
  </w:num>
  <w:num w:numId="6">
    <w:abstractNumId w:val="3"/>
  </w:num>
  <w:num w:numId="7">
    <w:abstractNumId w:val="15"/>
  </w:num>
  <w:num w:numId="8">
    <w:abstractNumId w:val="21"/>
  </w:num>
  <w:num w:numId="9">
    <w:abstractNumId w:val="22"/>
  </w:num>
  <w:num w:numId="10">
    <w:abstractNumId w:val="2"/>
  </w:num>
  <w:num w:numId="11">
    <w:abstractNumId w:val="9"/>
  </w:num>
  <w:num w:numId="12">
    <w:abstractNumId w:val="16"/>
  </w:num>
  <w:num w:numId="13">
    <w:abstractNumId w:val="18"/>
  </w:num>
  <w:num w:numId="14">
    <w:abstractNumId w:val="6"/>
  </w:num>
  <w:num w:numId="15">
    <w:abstractNumId w:val="10"/>
  </w:num>
  <w:num w:numId="16">
    <w:abstractNumId w:val="1"/>
  </w:num>
  <w:num w:numId="17">
    <w:abstractNumId w:val="17"/>
  </w:num>
  <w:num w:numId="18">
    <w:abstractNumId w:val="11"/>
  </w:num>
  <w:num w:numId="19">
    <w:abstractNumId w:val="20"/>
  </w:num>
  <w:num w:numId="20">
    <w:abstractNumId w:val="23"/>
  </w:num>
  <w:num w:numId="21">
    <w:abstractNumId w:val="8"/>
  </w:num>
  <w:num w:numId="22">
    <w:abstractNumId w:val="5"/>
  </w:num>
  <w:num w:numId="23">
    <w:abstractNumId w:val="0"/>
  </w:num>
  <w:num w:numId="24">
    <w:abstractNumId w:val="7"/>
  </w:num>
  <w:num w:numId="25">
    <w:abstractNumId w:val="19"/>
  </w:num>
  <w:num w:numId="26">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607"/>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199"/>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1209533911">
          <w:marLeft w:val="360"/>
          <w:marRight w:val="0"/>
          <w:marTop w:val="2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930163114">
          <w:marLeft w:val="1080"/>
          <w:marRight w:val="0"/>
          <w:marTop w:val="1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966540273">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48795018">
          <w:marLeft w:val="360"/>
          <w:marRight w:val="0"/>
          <w:marTop w:val="12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387188349">
          <w:marLeft w:val="360"/>
          <w:marRight w:val="0"/>
          <w:marTop w:val="20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6568238">
          <w:marLeft w:val="1080"/>
          <w:marRight w:val="0"/>
          <w:marTop w:val="12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F8F50-F146-4733-9A5A-DFBC8E63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1246</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8338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2022-02-11T20:38:00Z</dcterms:created>
  <dcterms:modified xsi:type="dcterms:W3CDTF">2022-02-11T20:38:00Z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